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w:t>
      </w:r>
      <w:r w:rsidR="008F0FF8">
        <w:rPr>
          <w:rFonts w:ascii="Tahoma" w:hAnsi="Tahoma"/>
          <w:b/>
          <w:bCs/>
          <w:sz w:val="20"/>
          <w:szCs w:val="20"/>
        </w:rPr>
        <w:t>36</w:t>
      </w:r>
      <w:r>
        <w:rPr>
          <w:rFonts w:ascii="Tahoma" w:hAnsi="Tahoma"/>
          <w:b/>
          <w:bCs/>
          <w:sz w:val="20"/>
          <w:szCs w:val="20"/>
        </w:rPr>
        <w:t>B.202</w:t>
      </w:r>
      <w:r w:rsidR="00777D45">
        <w:rPr>
          <w:rFonts w:ascii="Tahoma" w:hAnsi="Tahoma"/>
          <w:b/>
          <w:bCs/>
          <w:sz w:val="20"/>
          <w:szCs w:val="20"/>
        </w:rPr>
        <w:t>3</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Pr="00443A39" w:rsidRDefault="00552283" w:rsidP="006C2303">
      <w:pPr>
        <w:jc w:val="center"/>
        <w:rPr>
          <w:rFonts w:ascii="Tahoma" w:eastAsia="Lucida Sans Unicode" w:hAnsi="Tahoma"/>
          <w:b/>
          <w:bCs/>
          <w:color w:val="FF0000"/>
          <w:kern w:val="1"/>
          <w:sz w:val="20"/>
          <w:szCs w:val="20"/>
          <w:lang w:eastAsia="hi-IN" w:bidi="hi-IN"/>
        </w:rPr>
      </w:pPr>
      <w:r>
        <w:rPr>
          <w:rFonts w:ascii="Tahoma" w:eastAsia="Times New Roman" w:hAnsi="Tahoma"/>
          <w:b/>
          <w:bCs/>
          <w:i/>
          <w:iCs/>
          <w:sz w:val="20"/>
          <w:szCs w:val="20"/>
        </w:rPr>
        <w:t xml:space="preserve">             </w:t>
      </w:r>
      <w:r w:rsidR="006C2303">
        <w:rPr>
          <w:rFonts w:ascii="Tahoma" w:eastAsia="Times New Roman" w:hAnsi="Tahoma"/>
          <w:b/>
          <w:bCs/>
          <w:i/>
          <w:iCs/>
          <w:sz w:val="20"/>
          <w:szCs w:val="20"/>
        </w:rPr>
        <w:t>Wzór  umowy</w:t>
      </w:r>
      <w:r w:rsidR="00443A39">
        <w:rPr>
          <w:rFonts w:ascii="Tahoma" w:eastAsia="Times New Roman" w:hAnsi="Tahoma"/>
          <w:b/>
          <w:bCs/>
          <w:i/>
          <w:iCs/>
          <w:sz w:val="20"/>
          <w:szCs w:val="20"/>
        </w:rPr>
        <w:t xml:space="preserve"> </w:t>
      </w:r>
      <w:r>
        <w:rPr>
          <w:rFonts w:ascii="Tahoma" w:eastAsia="Times New Roman" w:hAnsi="Tahoma"/>
          <w:b/>
          <w:bCs/>
          <w:i/>
          <w:iCs/>
          <w:sz w:val="20"/>
          <w:szCs w:val="20"/>
        </w:rPr>
        <w:t xml:space="preserve">       </w:t>
      </w:r>
      <w:r w:rsidR="00443A39">
        <w:rPr>
          <w:rFonts w:ascii="Tahoma" w:eastAsia="Times New Roman" w:hAnsi="Tahoma"/>
          <w:b/>
          <w:bCs/>
          <w:i/>
          <w:iCs/>
          <w:sz w:val="20"/>
          <w:szCs w:val="20"/>
        </w:rPr>
        <w:t xml:space="preserve"> </w:t>
      </w:r>
      <w:r w:rsidR="00443A39">
        <w:rPr>
          <w:rFonts w:ascii="Tahoma" w:eastAsia="Times New Roman" w:hAnsi="Tahoma"/>
          <w:b/>
          <w:bCs/>
          <w:i/>
          <w:iCs/>
          <w:color w:val="FF0000"/>
          <w:sz w:val="20"/>
          <w:szCs w:val="20"/>
        </w:rPr>
        <w:t>(</w:t>
      </w:r>
      <w:r w:rsidR="00443A39" w:rsidRPr="00443A39">
        <w:rPr>
          <w:rFonts w:ascii="Tahoma" w:eastAsia="Times New Roman" w:hAnsi="Tahoma"/>
          <w:b/>
          <w:bCs/>
          <w:i/>
          <w:iCs/>
          <w:color w:val="FF0000"/>
          <w:sz w:val="20"/>
          <w:szCs w:val="20"/>
        </w:rPr>
        <w:t>pakiety 1-9)</w:t>
      </w:r>
    </w:p>
    <w:p w:rsidR="006C2303" w:rsidRDefault="006C2303" w:rsidP="00426A22">
      <w:pPr>
        <w:widowControl w:val="0"/>
        <w:spacing w:after="0"/>
        <w:jc w:val="center"/>
        <w:rPr>
          <w:rFonts w:ascii="Tahoma" w:eastAsia="Lucida Sans Unicode" w:hAnsi="Tahoma"/>
          <w:b/>
          <w:bCs/>
          <w:kern w:val="1"/>
          <w:sz w:val="20"/>
          <w:szCs w:val="20"/>
          <w:lang w:eastAsia="hi-IN" w:bidi="hi-IN"/>
        </w:rPr>
      </w:pPr>
      <w:r>
        <w:rPr>
          <w:rFonts w:ascii="Tahoma" w:eastAsia="Lucida Sans Unicode" w:hAnsi="Tahoma"/>
          <w:b/>
          <w:bCs/>
          <w:kern w:val="1"/>
          <w:sz w:val="20"/>
          <w:szCs w:val="20"/>
          <w:lang w:eastAsia="hi-IN" w:bidi="hi-IN"/>
        </w:rPr>
        <w:t xml:space="preserve">UMOWA nr …………….. </w:t>
      </w:r>
    </w:p>
    <w:p w:rsidR="00426A22" w:rsidRPr="00426A22" w:rsidRDefault="00F87953" w:rsidP="00426A22">
      <w:pPr>
        <w:suppressAutoHyphens/>
        <w:spacing w:after="0" w:line="240" w:lineRule="auto"/>
        <w:jc w:val="center"/>
        <w:rPr>
          <w:rFonts w:eastAsia="Calibri"/>
          <w:i/>
          <w:iCs/>
          <w:sz w:val="18"/>
          <w:szCs w:val="18"/>
          <w:lang w:eastAsia="ar-SA"/>
        </w:rPr>
      </w:pPr>
      <w:r>
        <w:rPr>
          <w:rFonts w:eastAsia="Calibri"/>
          <w:i/>
          <w:iCs/>
          <w:sz w:val="18"/>
          <w:szCs w:val="18"/>
          <w:lang w:eastAsia="ar-SA"/>
        </w:rPr>
        <w:t>( osobna umowa dla każdego pakietu</w:t>
      </w:r>
      <w:r w:rsidR="00426A22" w:rsidRPr="00426A22">
        <w:rPr>
          <w:rFonts w:eastAsia="Calibri"/>
          <w:i/>
          <w:iCs/>
          <w:sz w:val="18"/>
          <w:szCs w:val="18"/>
          <w:lang w:eastAsia="ar-SA"/>
        </w:rPr>
        <w:t>)</w:t>
      </w:r>
    </w:p>
    <w:p w:rsidR="00426A22" w:rsidRDefault="00426A22" w:rsidP="006C2303">
      <w:pPr>
        <w:widowControl w:val="0"/>
        <w:jc w:val="center"/>
        <w:rPr>
          <w:rFonts w:eastAsia="Lucida Sans Unicode"/>
          <w:kern w:val="1"/>
          <w:lang w:eastAsia="hi-IN" w:bidi="hi-IN"/>
        </w:rPr>
      </w:pP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 xml:space="preserve">obsługę serwisową </w:t>
      </w:r>
      <w:r w:rsidR="00443A39">
        <w:rPr>
          <w:rFonts w:ascii="Tahoma" w:eastAsia="Times New Roman" w:hAnsi="Tahoma"/>
          <w:b/>
          <w:bCs/>
          <w:sz w:val="20"/>
          <w:szCs w:val="20"/>
        </w:rPr>
        <w:t>ultrasonografów</w:t>
      </w:r>
      <w:r w:rsidR="00777D45">
        <w:rPr>
          <w:rFonts w:ascii="Tahoma" w:eastAsia="Times New Roman" w:hAnsi="Tahoma"/>
          <w:b/>
          <w:bCs/>
          <w:sz w:val="20"/>
          <w:szCs w:val="20"/>
        </w:rPr>
        <w:t xml:space="preserve"> </w:t>
      </w:r>
      <w:r>
        <w:rPr>
          <w:rFonts w:ascii="Tahoma" w:eastAsia="Times New Roman" w:hAnsi="Tahoma"/>
          <w:sz w:val="20"/>
          <w:szCs w:val="20"/>
        </w:rPr>
        <w:t xml:space="preserve"> </w:t>
      </w:r>
      <w:r>
        <w:rPr>
          <w:rFonts w:ascii="Tahoma" w:eastAsia="Times New Roman" w:hAnsi="Tahoma"/>
          <w:i/>
          <w:iCs/>
          <w:sz w:val="18"/>
          <w:szCs w:val="18"/>
        </w:rPr>
        <w:t>(zwan</w:t>
      </w:r>
      <w:r w:rsidR="00443A39">
        <w:rPr>
          <w:rFonts w:ascii="Tahoma" w:eastAsia="Times New Roman" w:hAnsi="Tahoma"/>
          <w:i/>
          <w:iCs/>
          <w:sz w:val="18"/>
          <w:szCs w:val="18"/>
        </w:rPr>
        <w:t>ych</w:t>
      </w:r>
      <w:r>
        <w:rPr>
          <w:rFonts w:ascii="Tahoma" w:eastAsia="Times New Roman" w:hAnsi="Tahoma"/>
          <w:i/>
          <w:iCs/>
          <w:sz w:val="18"/>
          <w:szCs w:val="18"/>
        </w:rPr>
        <w:t xml:space="preserve"> w dalszej części umowy urządzeniami/aparatami)</w:t>
      </w:r>
      <w:r>
        <w:rPr>
          <w:rFonts w:ascii="Tahoma" w:eastAsia="Times New Roman" w:hAnsi="Tahoma"/>
          <w:b/>
          <w:bCs/>
          <w:sz w:val="20"/>
          <w:szCs w:val="20"/>
        </w:rPr>
        <w:t xml:space="preserve"> </w:t>
      </w:r>
      <w:r>
        <w:rPr>
          <w:rFonts w:ascii="Tahoma" w:eastAsia="Times New Roman" w:hAnsi="Tahoma"/>
          <w:sz w:val="20"/>
          <w:szCs w:val="20"/>
        </w:rPr>
        <w:t>w zakresie pakietu nr ………. zwanej dalej obsługą serwisową</w:t>
      </w:r>
      <w:r>
        <w:rPr>
          <w:rFonts w:ascii="Tahoma" w:eastAsia="Lucida Sans Unicode" w:hAnsi="Tahoma"/>
          <w:kern w:val="1"/>
          <w:sz w:val="20"/>
          <w:szCs w:val="20"/>
        </w:rPr>
        <w:t xml:space="preserve"> w zakresie konserwacji, przeglądów tj. utrzymania w pełnej sprawności techniczno – eksploatacyjnej urządzeń medycznych.</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 xml:space="preserve">Przez przeglądy techniczne rozumie się wykonywanie czynności, których zakres określają zalecenia producenta urządzenia, polegających na sprawdzeniu poprawności działania urządzenia, przeprowadzeniu koniecznych kalibracji, konserwacji prewencyjnych oraz  wymianie </w:t>
      </w:r>
      <w:r w:rsidRPr="00EF6636">
        <w:rPr>
          <w:rFonts w:ascii="Tahoma" w:eastAsia="Times New Roman" w:hAnsi="Tahoma"/>
          <w:sz w:val="20"/>
          <w:szCs w:val="20"/>
        </w:rPr>
        <w:t>części zużywalnych</w:t>
      </w:r>
      <w:r>
        <w:rPr>
          <w:rFonts w:ascii="Tahoma" w:eastAsia="Times New Roman" w:hAnsi="Tahoma"/>
          <w:sz w:val="20"/>
          <w:szCs w:val="20"/>
        </w:rPr>
        <w:t xml:space="preserve">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 xml:space="preserve">obowiązującymi przepisami prawa, a w szczególności zgodnie z </w:t>
      </w:r>
      <w:r w:rsidR="001B28B0">
        <w:rPr>
          <w:rFonts w:ascii="Tahoma" w:eastAsia="Times New Roman" w:hAnsi="Tahoma" w:cs="Times New Roman"/>
          <w:sz w:val="20"/>
          <w:szCs w:val="20"/>
        </w:rPr>
        <w:t>u</w:t>
      </w:r>
      <w:r w:rsidR="001B28B0" w:rsidRPr="001B28B0">
        <w:rPr>
          <w:rFonts w:ascii="Tahoma" w:eastAsia="Times New Roman" w:hAnsi="Tahoma" w:cs="Times New Roman"/>
          <w:sz w:val="20"/>
          <w:szCs w:val="20"/>
        </w:rPr>
        <w:t>staw</w:t>
      </w:r>
      <w:r w:rsidR="001B28B0">
        <w:rPr>
          <w:rFonts w:ascii="Tahoma" w:eastAsia="Times New Roman" w:hAnsi="Tahoma" w:cs="Times New Roman"/>
          <w:sz w:val="20"/>
          <w:szCs w:val="20"/>
        </w:rPr>
        <w:t>ą</w:t>
      </w:r>
      <w:r w:rsidR="001B28B0" w:rsidRPr="001B28B0">
        <w:rPr>
          <w:rFonts w:ascii="Tahoma" w:eastAsia="Times New Roman" w:hAnsi="Tahoma" w:cs="Times New Roman"/>
          <w:sz w:val="20"/>
          <w:szCs w:val="20"/>
        </w:rPr>
        <w:t xml:space="preserve"> z dnia 7 kwietnia 2022 r. o wyrobach medycznych </w:t>
      </w:r>
      <w:r>
        <w:rPr>
          <w:rFonts w:ascii="Tahoma" w:eastAsia="Times New Roman" w:hAnsi="Tahoma" w:cs="Times New Roman"/>
          <w:sz w:val="20"/>
          <w:szCs w:val="20"/>
        </w:rPr>
        <w:t>, aktami wykonawczymi do niej i aktami prawnymi, które według ustawy mają zastosowanie do przedmiotu zamówienia;</w:t>
      </w:r>
    </w:p>
    <w:p w:rsidR="00777D45" w:rsidRPr="008F0FF8" w:rsidRDefault="006C2303" w:rsidP="00777D45">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6C2303" w:rsidRPr="00EF6636" w:rsidRDefault="006C2303" w:rsidP="006C2303">
      <w:pPr>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bCs/>
          <w:sz w:val="20"/>
          <w:szCs w:val="20"/>
        </w:rPr>
        <w:t>Wykonawca przy czynnościach związanych z wykonywaniem umowy zobowiązuje się  postępować z najwyższą starannością wynikającą z zawodowego charakteru prowadzonej działalności.</w:t>
      </w:r>
    </w:p>
    <w:p w:rsidR="00EF6636" w:rsidRDefault="00EF6636" w:rsidP="00EF6636">
      <w:pPr>
        <w:tabs>
          <w:tab w:val="left" w:pos="397"/>
        </w:tabs>
        <w:suppressAutoHyphens/>
        <w:spacing w:after="0" w:line="240" w:lineRule="auto"/>
        <w:jc w:val="both"/>
        <w:rPr>
          <w:rFonts w:ascii="Tahoma" w:eastAsia="Times New Roman" w:hAnsi="Tahoma"/>
          <w:sz w:val="20"/>
          <w:szCs w:val="20"/>
        </w:rPr>
      </w:pPr>
    </w:p>
    <w:p w:rsidR="00EF6636" w:rsidRPr="00EF6636" w:rsidRDefault="00EF6636" w:rsidP="00EF6636">
      <w:pPr>
        <w:numPr>
          <w:ilvl w:val="0"/>
          <w:numId w:val="14"/>
        </w:numPr>
        <w:tabs>
          <w:tab w:val="clear" w:pos="539"/>
          <w:tab w:val="num" w:pos="567"/>
        </w:tabs>
        <w:suppressAutoHyphens/>
        <w:spacing w:after="0" w:line="240" w:lineRule="auto"/>
        <w:ind w:left="397" w:hanging="255"/>
        <w:jc w:val="both"/>
        <w:rPr>
          <w:rFonts w:ascii="Tahoma" w:hAnsi="Tahoma" w:cs="Tahoma"/>
          <w:sz w:val="20"/>
          <w:szCs w:val="20"/>
        </w:rPr>
      </w:pPr>
      <w:r>
        <w:rPr>
          <w:rFonts w:ascii="Tahoma" w:eastAsia="Times New Roman" w:hAnsi="Tahoma"/>
          <w:sz w:val="20"/>
          <w:szCs w:val="20"/>
        </w:rPr>
        <w:lastRenderedPageBreak/>
        <w:t xml:space="preserve">  </w:t>
      </w:r>
      <w:r w:rsidR="006C2303">
        <w:rPr>
          <w:rFonts w:ascii="Tahoma" w:eastAsia="Times New Roman" w:hAnsi="Tahoma"/>
          <w:sz w:val="20"/>
          <w:szCs w:val="20"/>
        </w:rPr>
        <w:t xml:space="preserve">Zamawiający zobowiązuje się do udostępnienia urządzeń objętych umową w celu wykonania obsługi </w:t>
      </w:r>
      <w:r>
        <w:rPr>
          <w:rFonts w:ascii="Tahoma" w:eastAsia="Times New Roman" w:hAnsi="Tahoma"/>
          <w:sz w:val="20"/>
          <w:szCs w:val="20"/>
        </w:rPr>
        <w:t xml:space="preserve">  </w:t>
      </w:r>
    </w:p>
    <w:p w:rsidR="006C2303" w:rsidRDefault="00EF6636" w:rsidP="00EF6636">
      <w:pPr>
        <w:suppressAutoHyphens/>
        <w:spacing w:after="0" w:line="240" w:lineRule="auto"/>
        <w:ind w:left="397"/>
        <w:jc w:val="both"/>
        <w:rPr>
          <w:rFonts w:ascii="Tahoma" w:hAnsi="Tahoma" w:cs="Tahoma"/>
          <w:sz w:val="20"/>
          <w:szCs w:val="20"/>
        </w:rPr>
      </w:pPr>
      <w:r>
        <w:rPr>
          <w:rFonts w:ascii="Tahoma" w:eastAsia="Times New Roman" w:hAnsi="Tahoma"/>
          <w:sz w:val="20"/>
          <w:szCs w:val="20"/>
        </w:rPr>
        <w:t xml:space="preserve">   </w:t>
      </w:r>
      <w:r w:rsidR="006C2303">
        <w:rPr>
          <w:rFonts w:ascii="Tahoma" w:eastAsia="Times New Roman" w:hAnsi="Tahoma"/>
          <w:sz w:val="20"/>
          <w:szCs w:val="20"/>
        </w:rPr>
        <w:t>serwisowej przez Wykonawcę w loka</w:t>
      </w:r>
      <w:r w:rsidR="008F0FF8">
        <w:rPr>
          <w:rFonts w:ascii="Tahoma" w:eastAsia="Times New Roman" w:hAnsi="Tahoma"/>
          <w:sz w:val="20"/>
          <w:szCs w:val="20"/>
        </w:rPr>
        <w:t xml:space="preserve">lizacji Katowice ul. Medyków 14 </w:t>
      </w:r>
      <w:r w:rsidR="00B31A74">
        <w:rPr>
          <w:rFonts w:ascii="Tahoma" w:eastAsia="Times New Roman" w:hAnsi="Tahoma"/>
          <w:sz w:val="20"/>
          <w:szCs w:val="20"/>
        </w:rPr>
        <w:t>/</w:t>
      </w:r>
      <w:r w:rsidR="008F0FF8">
        <w:rPr>
          <w:rFonts w:ascii="Tahoma" w:eastAsia="Times New Roman" w:hAnsi="Tahoma"/>
          <w:sz w:val="20"/>
          <w:szCs w:val="20"/>
        </w:rPr>
        <w:t xml:space="preserve"> Ceglana 35</w:t>
      </w:r>
    </w:p>
    <w:p w:rsidR="006C2303" w:rsidRPr="008F0FF8" w:rsidRDefault="006C2303" w:rsidP="006C2303">
      <w:pPr>
        <w:numPr>
          <w:ilvl w:val="0"/>
          <w:numId w:val="14"/>
        </w:numPr>
        <w:spacing w:after="0" w:line="240" w:lineRule="auto"/>
        <w:jc w:val="both"/>
        <w:rPr>
          <w:rFonts w:ascii="Tahoma" w:eastAsia="Lucida Sans Unicode" w:hAnsi="Tahoma" w:cs="Tahoma"/>
          <w:kern w:val="1"/>
          <w:sz w:val="20"/>
          <w:szCs w:val="20"/>
        </w:rPr>
      </w:pPr>
      <w:r w:rsidRPr="008F0FF8">
        <w:rPr>
          <w:rFonts w:ascii="Tahoma" w:hAnsi="Tahoma" w:cs="Tahoma"/>
          <w:sz w:val="20"/>
          <w:szCs w:val="20"/>
        </w:rPr>
        <w:t>Przeglądy</w:t>
      </w:r>
      <w:r w:rsidRPr="008F0FF8">
        <w:rPr>
          <w:rFonts w:ascii="Tahoma" w:eastAsia="Lucida Sans Unicode" w:hAnsi="Tahoma" w:cs="Tahoma"/>
          <w:kern w:val="1"/>
          <w:sz w:val="20"/>
          <w:szCs w:val="20"/>
        </w:rPr>
        <w:t xml:space="preserve"> techniczne </w:t>
      </w:r>
      <w:r w:rsidRPr="008F0FF8">
        <w:rPr>
          <w:rFonts w:ascii="Tahoma" w:hAnsi="Tahoma" w:cs="Tahoma"/>
          <w:sz w:val="20"/>
          <w:szCs w:val="20"/>
        </w:rPr>
        <w:t xml:space="preserve"> (w ilościach wynikających z zaleceń producenta) będą wykonywane w terminie maksymalnie do 10 dni roboczych (tj. od poniedziałku do piątku z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6C2303" w:rsidRDefault="006C2303" w:rsidP="006C2303">
      <w:pPr>
        <w:numPr>
          <w:ilvl w:val="0"/>
          <w:numId w:val="14"/>
        </w:numPr>
        <w:spacing w:after="0" w:line="240" w:lineRule="auto"/>
        <w:jc w:val="both"/>
        <w:rPr>
          <w:rFonts w:ascii="Tahoma" w:hAnsi="Tahoma" w:cs="Tahoma"/>
          <w:sz w:val="20"/>
          <w:szCs w:val="20"/>
        </w:rPr>
      </w:pPr>
      <w:r w:rsidRPr="008F0FF8">
        <w:rPr>
          <w:rFonts w:ascii="Tahoma" w:eastAsia="Lucida Sans Unicode" w:hAnsi="Tahoma" w:cs="Tahoma"/>
          <w:kern w:val="1"/>
          <w:sz w:val="20"/>
          <w:szCs w:val="20"/>
        </w:rPr>
        <w:t xml:space="preserve">Przeglądy techniczne </w:t>
      </w:r>
      <w:r w:rsidRPr="008F0FF8">
        <w:rPr>
          <w:rFonts w:ascii="Tahoma" w:hAnsi="Tahoma" w:cs="Tahoma"/>
          <w:sz w:val="20"/>
          <w:szCs w:val="20"/>
        </w:rPr>
        <w:t xml:space="preserve"> </w:t>
      </w:r>
      <w:r w:rsidRPr="008F0FF8">
        <w:rPr>
          <w:rFonts w:ascii="Tahoma" w:hAnsi="Tahoma" w:cs="Tahoma"/>
          <w:sz w:val="20"/>
        </w:rPr>
        <w:t xml:space="preserve"> będą wykonywane w siedzibie Zamawiającego przy użyciu własnych materiałów i narzędzi </w:t>
      </w:r>
      <w:r w:rsidRPr="00552283">
        <w:rPr>
          <w:rFonts w:ascii="Tahoma" w:hAnsi="Tahoma" w:cs="Tahoma"/>
          <w:sz w:val="20"/>
        </w:rPr>
        <w:t>Wykonawcy</w:t>
      </w:r>
      <w:r w:rsidRPr="00552283">
        <w:rPr>
          <w:rFonts w:ascii="Tahoma" w:hAnsi="Tahoma" w:cs="Tahoma"/>
          <w:sz w:val="20"/>
          <w:szCs w:val="20"/>
        </w:rPr>
        <w:t>.</w:t>
      </w:r>
      <w:bookmarkStart w:id="0" w:name="_Hlk31712717"/>
    </w:p>
    <w:bookmarkEnd w:id="0"/>
    <w:p w:rsidR="006C2303" w:rsidRDefault="006C2303" w:rsidP="006C2303">
      <w:pPr>
        <w:numPr>
          <w:ilvl w:val="0"/>
          <w:numId w:val="14"/>
        </w:numPr>
        <w:spacing w:after="0" w:line="240" w:lineRule="auto"/>
        <w:jc w:val="both"/>
        <w:rPr>
          <w:rFonts w:ascii="Tahoma" w:hAnsi="Tahoma" w:cs="Tahoma"/>
          <w:sz w:val="20"/>
          <w:szCs w:val="20"/>
        </w:rPr>
      </w:pPr>
      <w:r w:rsidRPr="00B31A74">
        <w:rPr>
          <w:rFonts w:ascii="Tahoma" w:hAnsi="Tahoma" w:cs="Tahoma"/>
          <w:sz w:val="20"/>
          <w:szCs w:val="20"/>
        </w:rPr>
        <w:t xml:space="preserve">Wykonawca gwarantuje, że </w:t>
      </w:r>
      <w:r w:rsidR="00DC6A0B">
        <w:rPr>
          <w:rFonts w:ascii="Tahoma" w:hAnsi="Tahoma" w:cs="Tahoma"/>
          <w:sz w:val="20"/>
          <w:szCs w:val="20"/>
        </w:rPr>
        <w:t>ob</w:t>
      </w:r>
      <w:r w:rsidRPr="00B31A74">
        <w:rPr>
          <w:rFonts w:ascii="Tahoma" w:hAnsi="Tahoma" w:cs="Tahoma"/>
          <w:sz w:val="20"/>
          <w:szCs w:val="20"/>
        </w:rPr>
        <w:t xml:space="preserve">sługa serwisowa  będzie realizowana zgodnie z zaleceniami producenta aparatów, obowiązującymi normami i przepisami prawa oraz z zachowaniem przepisów BHP i P. </w:t>
      </w:r>
      <w:proofErr w:type="spellStart"/>
      <w:r w:rsidRPr="00B31A74">
        <w:rPr>
          <w:rFonts w:ascii="Tahoma" w:hAnsi="Tahoma" w:cs="Tahoma"/>
          <w:sz w:val="20"/>
          <w:szCs w:val="20"/>
        </w:rPr>
        <w:t>Poż</w:t>
      </w:r>
      <w:proofErr w:type="spellEnd"/>
      <w:r w:rsidRPr="00B31A74">
        <w:rPr>
          <w:rFonts w:ascii="Tahoma" w:hAnsi="Tahoma" w:cs="Tahoma"/>
          <w:sz w:val="20"/>
          <w:szCs w:val="20"/>
        </w:rPr>
        <w:t>.,  przez osoby posiadające potrzebne kwalifikacje.</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Zamawiający upoważnia do kontaktów: Dział Aparatury Medycznej  Ligota:  tel. 32 789-40-4</w:t>
      </w:r>
      <w:r w:rsidR="00F126A5">
        <w:rPr>
          <w:rFonts w:ascii="Tahoma" w:hAnsi="Tahoma" w:cs="Tahoma"/>
          <w:sz w:val="20"/>
          <w:szCs w:val="20"/>
        </w:rPr>
        <w:t>2</w:t>
      </w:r>
      <w:r>
        <w:rPr>
          <w:rFonts w:ascii="Tahoma" w:hAnsi="Tahoma" w:cs="Tahoma"/>
          <w:sz w:val="20"/>
          <w:szCs w:val="20"/>
        </w:rPr>
        <w:t xml:space="preserve">,44 e-mail: </w:t>
      </w:r>
      <w:hyperlink r:id="rId6" w:history="1">
        <w:r>
          <w:rPr>
            <w:rStyle w:val="Hipercze"/>
            <w:rFonts w:ascii="Tahoma" w:hAnsi="Tahoma" w:cs="Tahoma"/>
            <w:sz w:val="20"/>
            <w:szCs w:val="20"/>
          </w:rPr>
          <w:t>aparatura-ligota@uck.katowice.pl</w:t>
        </w:r>
      </w:hyperlink>
      <w:r w:rsidR="008F0FF8">
        <w:t xml:space="preserve"> </w:t>
      </w:r>
      <w:r w:rsidR="00DC6A0B">
        <w:t>,</w:t>
      </w:r>
      <w:r w:rsidR="008F0FF8">
        <w:t xml:space="preserve"> Dział Aparatury Medycznej  Ceglana:  tel. 32 358-1-216,202</w:t>
      </w:r>
      <w:r w:rsidR="00FE4849">
        <w:t xml:space="preserve"> </w:t>
      </w:r>
      <w:r w:rsidR="00FE4849">
        <w:rPr>
          <w:rFonts w:ascii="Tahoma" w:hAnsi="Tahoma" w:cs="Tahoma"/>
          <w:sz w:val="20"/>
          <w:szCs w:val="20"/>
        </w:rPr>
        <w:t xml:space="preserve">e-mail: </w:t>
      </w:r>
      <w:hyperlink r:id="rId7" w:history="1">
        <w:r w:rsidR="00FE4849" w:rsidRPr="0054397C">
          <w:rPr>
            <w:rStyle w:val="Hipercze"/>
            <w:rFonts w:ascii="Tahoma" w:hAnsi="Tahoma" w:cs="Tahoma"/>
            <w:sz w:val="20"/>
            <w:szCs w:val="20"/>
          </w:rPr>
          <w:t>aparaturamedyczna@uck.katowice.pl</w:t>
        </w:r>
      </w:hyperlink>
      <w:r w:rsidR="00FE4849">
        <w:rPr>
          <w:rFonts w:ascii="Tahoma" w:hAnsi="Tahoma" w:cs="Tahoma"/>
          <w:sz w:val="20"/>
          <w:szCs w:val="20"/>
        </w:rPr>
        <w:t xml:space="preserve"> </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Wykonawca upoważnia do kontaktów: ………………………………………………….. tel. nr ….......................................... , e-mail: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Każda czynność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 od dnia podpisania protokołu odbioru wykonania usługi w ramach której zostaną dostarczone i wymienione części lub podzespoły.</w:t>
      </w:r>
    </w:p>
    <w:p w:rsidR="006C2303" w:rsidRDefault="006C2303" w:rsidP="006C2303">
      <w:pPr>
        <w:numPr>
          <w:ilvl w:val="0"/>
          <w:numId w:val="14"/>
        </w:numPr>
        <w:spacing w:after="0" w:line="240" w:lineRule="auto"/>
        <w:jc w:val="both"/>
        <w:rPr>
          <w:rFonts w:ascii="Tahoma" w:eastAsia="Arial Unicode MS" w:hAnsi="Tahoma" w:cs="Tahoma"/>
          <w:sz w:val="20"/>
          <w:szCs w:val="20"/>
        </w:rPr>
      </w:pPr>
      <w:r>
        <w:rPr>
          <w:rFonts w:ascii="Tahoma" w:hAnsi="Tahoma" w:cs="Tahoma"/>
          <w:sz w:val="20"/>
          <w:szCs w:val="20"/>
        </w:rPr>
        <w:t xml:space="preserve">Wykonawca ponosi odpowiedzialność cywilno-prawną za wszelkie szkody związane z nieprawidłowym wykonaniem </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sidR="003B6193">
        <w:rPr>
          <w:rFonts w:ascii="Tahoma" w:eastAsia="Lucida Sans Unicode" w:hAnsi="Tahoma" w:cs="Tahoma"/>
          <w:kern w:val="1"/>
          <w:sz w:val="20"/>
          <w:szCs w:val="20"/>
        </w:rPr>
        <w:t>.</w:t>
      </w:r>
      <w:r>
        <w:rPr>
          <w:rFonts w:ascii="Tahoma" w:hAnsi="Tahoma" w:cs="Tahoma"/>
          <w:sz w:val="20"/>
          <w:szCs w:val="20"/>
        </w:rPr>
        <w:t xml:space="preserve"> </w:t>
      </w:r>
    </w:p>
    <w:p w:rsidR="006C2303" w:rsidRDefault="006C2303" w:rsidP="006C2303">
      <w:pPr>
        <w:numPr>
          <w:ilvl w:val="0"/>
          <w:numId w:val="14"/>
        </w:numPr>
        <w:spacing w:after="0" w:line="240" w:lineRule="auto"/>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Medyków 14 </w:t>
      </w:r>
      <w:r w:rsidR="003B6193">
        <w:rPr>
          <w:rFonts w:ascii="Tahoma" w:hAnsi="Tahoma" w:cs="Tahoma"/>
          <w:kern w:val="1"/>
          <w:sz w:val="20"/>
          <w:szCs w:val="20"/>
          <w:lang w:eastAsia="hi-IN" w:bidi="hi-IN"/>
        </w:rPr>
        <w:t>/Ceglana 35</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do  niniejszej umowy.</w:t>
      </w:r>
    </w:p>
    <w:p w:rsidR="006C2303" w:rsidRPr="00B31A74" w:rsidRDefault="006C2303" w:rsidP="00443A39">
      <w:pPr>
        <w:numPr>
          <w:ilvl w:val="0"/>
          <w:numId w:val="14"/>
        </w:numPr>
        <w:spacing w:after="0" w:line="240" w:lineRule="auto"/>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w załączniku nr 2  (formularz cenowy).</w:t>
      </w:r>
      <w:bookmarkEnd w:id="1"/>
    </w:p>
    <w:p w:rsidR="00EF6636" w:rsidRDefault="00EF6636" w:rsidP="00EF6636">
      <w:pPr>
        <w:widowControl w:val="0"/>
        <w:numPr>
          <w:ilvl w:val="0"/>
          <w:numId w:val="14"/>
        </w:numPr>
        <w:spacing w:after="0" w:line="240" w:lineRule="auto"/>
        <w:jc w:val="both"/>
        <w:rPr>
          <w:rFonts w:ascii="Tahoma" w:hAnsi="Tahoma" w:cs="Tahoma"/>
          <w:sz w:val="20"/>
          <w:szCs w:val="20"/>
        </w:rPr>
      </w:pPr>
      <w:r w:rsidRPr="0014627A">
        <w:rPr>
          <w:rFonts w:ascii="Tahoma" w:hAnsi="Tahoma" w:cs="Tahoma"/>
          <w:sz w:val="20"/>
          <w:szCs w:val="20"/>
        </w:rPr>
        <w:t xml:space="preserve">Wykonawca zobowiązuje się w dniu zawarcia niniejszej umowy zawrzeć umowę o powierzenie przetwarzania danych osobowych na warunkach wskazanych we wzorze umowy powierzenia danych  </w:t>
      </w:r>
    </w:p>
    <w:p w:rsidR="00500AC6" w:rsidRPr="00A05164" w:rsidRDefault="00500AC6" w:rsidP="00961C9E">
      <w:pPr>
        <w:suppressAutoHyphens/>
        <w:spacing w:after="0" w:line="240" w:lineRule="auto"/>
        <w:jc w:val="both"/>
        <w:rPr>
          <w:rFonts w:eastAsia="Times New Roman"/>
          <w:kern w:val="1"/>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DC6A0B" w:rsidRPr="00EF6636" w:rsidRDefault="006C2303" w:rsidP="00DC6A0B">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00DC6A0B">
        <w:rPr>
          <w:rFonts w:ascii="Tahoma" w:hAnsi="Tahoma" w:cs="Tahoma"/>
          <w:sz w:val="20"/>
          <w:szCs w:val="20"/>
        </w:rPr>
        <w:t>:</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 xml:space="preserve">koszty robocizny, koszty cła i podatków, jeśli takie występują, </w:t>
      </w:r>
      <w:r w:rsidR="00FE4849" w:rsidRPr="0083657A">
        <w:rPr>
          <w:rFonts w:ascii="Tahoma" w:hAnsi="Tahoma" w:cs="Tahoma"/>
          <w:sz w:val="20"/>
          <w:szCs w:val="20"/>
          <w:lang w:eastAsia="en-US"/>
        </w:rPr>
        <w:t>koszty wydania orzeczeń technicznych kwalifikujących aparaty do</w:t>
      </w:r>
      <w:r w:rsidR="00FE4849" w:rsidRPr="0083657A">
        <w:rPr>
          <w:rFonts w:ascii="Tahoma" w:hAnsi="Tahoma" w:cs="Tahoma"/>
          <w:sz w:val="20"/>
          <w:szCs w:val="20"/>
        </w:rPr>
        <w:t xml:space="preserve"> </w:t>
      </w:r>
      <w:r w:rsidR="00FE4849">
        <w:rPr>
          <w:rFonts w:ascii="Tahoma" w:hAnsi="Tahoma" w:cs="Tahoma"/>
          <w:sz w:val="20"/>
          <w:szCs w:val="20"/>
          <w:lang w:eastAsia="en-US"/>
        </w:rPr>
        <w:t xml:space="preserve">wycofania z eksploatacji, koszty dojazdu do i z </w:t>
      </w:r>
      <w:r w:rsidRPr="0083657A">
        <w:rPr>
          <w:rFonts w:ascii="Tahoma" w:hAnsi="Tahoma" w:cs="Tahoma"/>
          <w:sz w:val="20"/>
          <w:szCs w:val="20"/>
          <w:lang w:eastAsia="en-US"/>
        </w:rPr>
        <w:t>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Zapłata za każd</w:t>
      </w:r>
      <w:r w:rsidR="00FE4849">
        <w:rPr>
          <w:rFonts w:ascii="Tahoma" w:hAnsi="Tahoma" w:cs="Tahoma"/>
          <w:sz w:val="20"/>
          <w:szCs w:val="20"/>
        </w:rPr>
        <w:t>e</w:t>
      </w:r>
      <w:r w:rsidRPr="0083657A">
        <w:rPr>
          <w:rFonts w:ascii="Tahoma" w:hAnsi="Tahoma" w:cs="Tahoma"/>
          <w:sz w:val="20"/>
          <w:szCs w:val="20"/>
        </w:rPr>
        <w:t xml:space="preserve">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DB7B08" w:rsidP="00DB7B08">
      <w:pPr>
        <w:pStyle w:val="Akapitzlist"/>
        <w:numPr>
          <w:ilvl w:val="0"/>
          <w:numId w:val="1"/>
        </w:numPr>
        <w:tabs>
          <w:tab w:val="left" w:pos="360"/>
        </w:tabs>
        <w:suppressAutoHyphens/>
        <w:spacing w:after="0" w:line="240" w:lineRule="auto"/>
        <w:ind w:left="340" w:hanging="198"/>
        <w:jc w:val="both"/>
        <w:rPr>
          <w:rFonts w:ascii="Tahoma" w:hAnsi="Tahoma" w:cs="Times New Roman"/>
          <w:sz w:val="20"/>
          <w:szCs w:val="20"/>
        </w:rPr>
      </w:pPr>
      <w:r>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Za datę dokonania zapłaty przyjmuje się datę obciążenia rachunku bankowego Zamawiającego.</w:t>
      </w:r>
    </w:p>
    <w:p w:rsidR="00EE3B7A" w:rsidRPr="0083657A" w:rsidRDefault="00D01808" w:rsidP="00D01808">
      <w:pPr>
        <w:spacing w:after="0" w:line="240" w:lineRule="auto"/>
        <w:ind w:left="426" w:hanging="426"/>
        <w:rPr>
          <w:rFonts w:ascii="Tahoma" w:hAnsi="Tahoma" w:cs="Tahoma"/>
          <w:sz w:val="20"/>
          <w:szCs w:val="20"/>
        </w:rPr>
      </w:pPr>
      <w:r>
        <w:rPr>
          <w:rFonts w:ascii="Tahoma" w:hAnsi="Tahoma" w:cs="Tahoma"/>
          <w:sz w:val="20"/>
          <w:szCs w:val="20"/>
        </w:rPr>
        <w:t xml:space="preserve">   5.  </w:t>
      </w:r>
      <w:r w:rsidR="00EE3B7A" w:rsidRPr="0083657A">
        <w:rPr>
          <w:rFonts w:ascii="Tahoma" w:hAnsi="Tahoma" w:cs="Tahoma"/>
          <w:sz w:val="20"/>
          <w:szCs w:val="20"/>
        </w:rPr>
        <w:t>Faktura, o której mowa w ust. 3  nie może być wystawiona z datą wcześniejszą niż dzień wykonania usługi  potwierdzony podpisaniem protokołu serwisowego oraz wpisem do paszportu technicznego aparatu.</w:t>
      </w:r>
    </w:p>
    <w:p w:rsidR="006C2303" w:rsidRPr="00F077A6" w:rsidRDefault="00F3122C" w:rsidP="00D01808">
      <w:pPr>
        <w:widowControl w:val="0"/>
        <w:suppressAutoHyphens/>
        <w:spacing w:after="0" w:line="100" w:lineRule="atLeast"/>
        <w:ind w:left="426" w:hanging="426"/>
        <w:jc w:val="both"/>
        <w:rPr>
          <w:rFonts w:ascii="Tahoma" w:eastAsia="Cambria" w:hAnsi="Tahoma" w:cs="Times New Roman"/>
          <w:color w:val="FF0000"/>
          <w:sz w:val="20"/>
          <w:szCs w:val="20"/>
        </w:rPr>
      </w:pPr>
      <w:r>
        <w:rPr>
          <w:rFonts w:ascii="Tahoma" w:hAnsi="Tahoma" w:cs="Times New Roman"/>
          <w:sz w:val="20"/>
          <w:szCs w:val="20"/>
        </w:rPr>
        <w:lastRenderedPageBreak/>
        <w:t xml:space="preserve">  6.  </w:t>
      </w:r>
      <w:r w:rsidR="006C2303" w:rsidRPr="0083657A">
        <w:rPr>
          <w:rFonts w:ascii="Tahoma" w:hAnsi="Tahoma" w:cs="Times New Roman"/>
          <w:sz w:val="20"/>
          <w:szCs w:val="20"/>
        </w:rPr>
        <w:t>Na podstawie art. 12 ust. 4i i 4j oraz art. 15d ustawy o podatku dochodowym od osób prawnych (tekst</w:t>
      </w:r>
      <w:r w:rsidR="006C2303">
        <w:rPr>
          <w:rFonts w:ascii="Tahoma" w:hAnsi="Tahoma" w:cs="Times New Roman"/>
          <w:sz w:val="20"/>
          <w:szCs w:val="20"/>
        </w:rPr>
        <w:t xml:space="preserve"> jednolity: </w:t>
      </w:r>
      <w:proofErr w:type="spellStart"/>
      <w:r w:rsidR="006C2303">
        <w:rPr>
          <w:rFonts w:ascii="Tahoma" w:hAnsi="Tahoma" w:cs="Times New Roman"/>
          <w:sz w:val="20"/>
          <w:szCs w:val="20"/>
        </w:rPr>
        <w:t>Dz.U</w:t>
      </w:r>
      <w:proofErr w:type="spellEnd"/>
      <w:r w:rsidR="006C2303">
        <w:rPr>
          <w:rFonts w:ascii="Tahoma" w:hAnsi="Tahoma" w:cs="Times New Roman"/>
          <w:sz w:val="20"/>
          <w:szCs w:val="20"/>
        </w:rPr>
        <w:t>.</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w:t>
      </w:r>
      <w:r w:rsidR="007E4ACF">
        <w:rPr>
          <w:rFonts w:ascii="Tahoma" w:eastAsia="Cambria" w:hAnsi="Tahoma" w:cs="Times New Roman"/>
          <w:sz w:val="20"/>
          <w:szCs w:val="20"/>
        </w:rPr>
        <w:t xml:space="preserve"> r.</w:t>
      </w:r>
      <w:r w:rsidRPr="00F077A6">
        <w:rPr>
          <w:rFonts w:ascii="Tahoma" w:eastAsia="Cambria" w:hAnsi="Tahoma" w:cs="Times New Roman"/>
          <w:sz w:val="20"/>
          <w:szCs w:val="20"/>
        </w:rPr>
        <w:t xml:space="preserve"> poz. 2587</w:t>
      </w:r>
      <w:r w:rsidR="007E4ACF">
        <w:rPr>
          <w:rFonts w:ascii="Tahoma" w:eastAsia="Cambria" w:hAnsi="Tahoma" w:cs="Times New Roman"/>
          <w:sz w:val="20"/>
          <w:szCs w:val="20"/>
        </w:rPr>
        <w:t xml:space="preserve"> z </w:t>
      </w:r>
      <w:proofErr w:type="spellStart"/>
      <w:r w:rsidR="007E4ACF">
        <w:rPr>
          <w:rFonts w:ascii="Tahoma" w:eastAsia="Cambria" w:hAnsi="Tahoma" w:cs="Times New Roman"/>
          <w:sz w:val="20"/>
          <w:szCs w:val="20"/>
        </w:rPr>
        <w:t>późn</w:t>
      </w:r>
      <w:proofErr w:type="spellEnd"/>
      <w:r w:rsidR="007E4ACF">
        <w:rPr>
          <w:rFonts w:ascii="Tahoma" w:eastAsia="Cambria" w:hAnsi="Tahoma" w:cs="Times New Roman"/>
          <w:sz w:val="20"/>
          <w:szCs w:val="20"/>
        </w:rPr>
        <w:t>. zm.</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DB7B08">
      <w:pPr>
        <w:numPr>
          <w:ilvl w:val="0"/>
          <w:numId w:val="11"/>
        </w:numPr>
        <w:suppressAutoHyphens/>
        <w:spacing w:after="0" w:line="240" w:lineRule="auto"/>
        <w:ind w:left="567" w:hanging="425"/>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DB7B08">
      <w:pPr>
        <w:numPr>
          <w:ilvl w:val="0"/>
          <w:numId w:val="11"/>
        </w:numPr>
        <w:suppressAutoHyphens/>
        <w:spacing w:after="0" w:line="240" w:lineRule="auto"/>
        <w:ind w:left="567" w:hanging="425"/>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9"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DB7B08">
      <w:pPr>
        <w:widowControl w:val="0"/>
        <w:numPr>
          <w:ilvl w:val="0"/>
          <w:numId w:val="4"/>
        </w:numPr>
        <w:tabs>
          <w:tab w:val="left" w:pos="2780"/>
        </w:tabs>
        <w:suppressAutoHyphens/>
        <w:autoSpaceDE w:val="0"/>
        <w:spacing w:after="0" w:line="240" w:lineRule="auto"/>
        <w:ind w:hanging="255"/>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Należność z tytułu kary umownej będzie płatna w terminie </w:t>
      </w:r>
      <w:r w:rsidR="006A3339" w:rsidRPr="00DB7B08">
        <w:rPr>
          <w:rFonts w:ascii="Tahoma" w:eastAsia="Calibri" w:hAnsi="Tahoma" w:cs="Times New Roman"/>
          <w:kern w:val="1"/>
          <w:sz w:val="20"/>
          <w:szCs w:val="20"/>
        </w:rPr>
        <w:t>14</w:t>
      </w:r>
      <w:r w:rsidR="006A3339">
        <w:rPr>
          <w:rFonts w:ascii="Tahoma" w:eastAsia="Calibri" w:hAnsi="Tahoma" w:cs="Times New Roman"/>
          <w:kern w:val="1"/>
          <w:sz w:val="20"/>
          <w:szCs w:val="20"/>
        </w:rPr>
        <w:t xml:space="preserve"> </w:t>
      </w:r>
      <w:r>
        <w:rPr>
          <w:rFonts w:ascii="Tahoma" w:eastAsia="Calibri" w:hAnsi="Tahoma" w:cs="Times New Roman"/>
          <w:kern w:val="1"/>
          <w:sz w:val="20"/>
          <w:szCs w:val="20"/>
        </w:rPr>
        <w:t xml:space="preserve">dni od daty wystawienia przez Zamawiającego noty obciążeniowej. </w:t>
      </w:r>
    </w:p>
    <w:p w:rsidR="0069473C" w:rsidRPr="00EF6636" w:rsidRDefault="006C2303" w:rsidP="00EF6636">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 xml:space="preserve">W przypadku, gdy wysokość wyrządzonej szkody przewyższa naliczoną karę umowną Zamawiający ma </w:t>
      </w:r>
    </w:p>
    <w:p w:rsidR="006C2303" w:rsidRPr="00DC6A0B" w:rsidRDefault="006C2303" w:rsidP="00DC6A0B">
      <w:pPr>
        <w:pStyle w:val="Akapitzlist"/>
        <w:widowControl w:val="0"/>
        <w:suppressAutoHyphens/>
        <w:autoSpaceDE w:val="0"/>
        <w:spacing w:after="0" w:line="240" w:lineRule="auto"/>
        <w:ind w:left="567"/>
        <w:jc w:val="both"/>
        <w:rPr>
          <w:rFonts w:ascii="Tahoma" w:eastAsia="Calibri" w:hAnsi="Tahoma" w:cs="Times New Roman"/>
          <w:sz w:val="20"/>
          <w:szCs w:val="20"/>
        </w:rPr>
      </w:pPr>
      <w:r w:rsidRPr="00DC6A0B">
        <w:rPr>
          <w:rFonts w:ascii="Tahoma" w:eastAsia="Calibri" w:hAnsi="Tahoma" w:cs="Times New Roman"/>
          <w:kern w:val="1"/>
          <w:sz w:val="20"/>
          <w:szCs w:val="20"/>
        </w:rPr>
        <w:t>prawo żądać odszkodowania uzupełniającego na zasadach ogólnych.</w:t>
      </w:r>
    </w:p>
    <w:p w:rsidR="006C2303" w:rsidRPr="00FE4849"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FE4849" w:rsidRPr="00FE4849" w:rsidRDefault="00FE4849" w:rsidP="00FE4849">
      <w:pPr>
        <w:widowControl w:val="0"/>
        <w:suppressAutoHyphens/>
        <w:autoSpaceDE w:val="0"/>
        <w:spacing w:after="0" w:line="240" w:lineRule="auto"/>
        <w:jc w:val="both"/>
        <w:rPr>
          <w:rFonts w:eastAsia="Times New Roman"/>
          <w:b/>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D01808">
      <w:pPr>
        <w:numPr>
          <w:ilvl w:val="0"/>
          <w:numId w:val="3"/>
        </w:numPr>
        <w:suppressAutoHyphens/>
        <w:spacing w:after="0" w:line="240" w:lineRule="auto"/>
        <w:ind w:hanging="255"/>
        <w:jc w:val="both"/>
        <w:rPr>
          <w:rFonts w:ascii="Tahoma" w:eastAsia="Times New Roman" w:hAnsi="Tahoma"/>
          <w:sz w:val="20"/>
          <w:szCs w:val="20"/>
        </w:rPr>
      </w:pPr>
      <w:r>
        <w:rPr>
          <w:rFonts w:ascii="Tahoma" w:eastAsia="Times New Roman" w:hAnsi="Tahoma"/>
          <w:bCs/>
          <w:sz w:val="20"/>
          <w:szCs w:val="20"/>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w:t>
      </w:r>
      <w:r>
        <w:rPr>
          <w:rFonts w:ascii="Tahoma" w:eastAsia="Times New Roman" w:hAnsi="Tahoma"/>
          <w:bCs/>
          <w:sz w:val="20"/>
          <w:szCs w:val="20"/>
        </w:rPr>
        <w:lastRenderedPageBreak/>
        <w:t>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te</w:t>
      </w:r>
      <w:r w:rsidR="00B31A74">
        <w:rPr>
          <w:rFonts w:ascii="Tahoma" w:eastAsia="Times New Roman" w:hAnsi="Tahoma"/>
          <w:sz w:val="20"/>
          <w:szCs w:val="20"/>
        </w:rPr>
        <w:t>rminów określonych w § 2 ust. 4</w:t>
      </w:r>
      <w:r>
        <w:rPr>
          <w:rFonts w:ascii="Tahoma" w:eastAsia="Times New Roman" w:hAnsi="Tahoma"/>
          <w:sz w:val="20"/>
          <w:szCs w:val="20"/>
        </w:rPr>
        <w:t xml:space="preserve">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10"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6C2303"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6C2303" w:rsidRDefault="006C2303" w:rsidP="006C2303">
      <w:pPr>
        <w:jc w:val="both"/>
        <w:rPr>
          <w:rFonts w:eastAsia="Times New Roman"/>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okres  24 </w:t>
      </w:r>
      <w:r w:rsidR="00AD60E6">
        <w:rPr>
          <w:rFonts w:ascii="Tahoma" w:eastAsia="Times New Roman" w:hAnsi="Tahoma"/>
          <w:sz w:val="20"/>
          <w:szCs w:val="20"/>
        </w:rPr>
        <w:t>miesięcy od  dnia zawarcia umowy</w:t>
      </w:r>
      <w:r w:rsidR="005F36D9">
        <w:rPr>
          <w:rFonts w:ascii="Tahoma" w:eastAsia="Times New Roman" w:hAnsi="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W sprawach nieuregulowanych niniejszą umową mają zastosowanie odpowiednie przepisy </w:t>
      </w:r>
      <w:bookmarkStart w:id="2" w:name="_Hlk134777851"/>
      <w:r w:rsidR="00507A01" w:rsidRPr="00507A01">
        <w:rPr>
          <w:rFonts w:ascii="Tahoma" w:eastAsia="Times New Roman" w:hAnsi="Tahoma"/>
          <w:sz w:val="20"/>
          <w:szCs w:val="20"/>
        </w:rPr>
        <w:t>ustawy z dnia 11 września 2019 r. - Prawo zamówień publicznych i ustawy z dnia 23 kwietnia 1964 r. Kodeks cywilny</w:t>
      </w:r>
      <w:bookmarkEnd w:id="2"/>
      <w:r>
        <w:rPr>
          <w:rFonts w:ascii="Tahoma" w:eastAsia="Times New Roman" w:hAnsi="Tahoma"/>
          <w:sz w:val="20"/>
          <w:szCs w:val="20"/>
        </w:rPr>
        <w:t>.</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6C2303" w:rsidRDefault="006C2303" w:rsidP="006C2303">
      <w:pPr>
        <w:numPr>
          <w:ilvl w:val="0"/>
          <w:numId w:val="5"/>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2303" w:rsidRDefault="006C2303" w:rsidP="006C2303">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6C2303" w:rsidRDefault="006C2303" w:rsidP="006C2303">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6C2303" w:rsidRDefault="006C2303" w:rsidP="006C2303">
      <w:pPr>
        <w:numPr>
          <w:ilvl w:val="1"/>
          <w:numId w:val="21"/>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6C2303" w:rsidRDefault="006C2303" w:rsidP="006C2303">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2303" w:rsidRDefault="006C2303" w:rsidP="006C2303">
      <w:pPr>
        <w:numPr>
          <w:ilvl w:val="0"/>
          <w:numId w:val="19"/>
        </w:numPr>
        <w:suppressAutoHyphens/>
        <w:spacing w:after="0" w:line="240" w:lineRule="auto"/>
        <w:ind w:left="426" w:hanging="284"/>
        <w:jc w:val="both"/>
        <w:rPr>
          <w:rFonts w:ascii="Tahoma" w:eastAsia="Cambria" w:hAnsi="Tahoma"/>
          <w:sz w:val="20"/>
          <w:szCs w:val="20"/>
        </w:rPr>
      </w:pPr>
      <w:r>
        <w:rPr>
          <w:rFonts w:ascii="Tahoma" w:eastAsia="Cambria" w:hAnsi="Tahoma"/>
          <w:sz w:val="20"/>
          <w:szCs w:val="20"/>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6C2303" w:rsidRDefault="006C2303" w:rsidP="006C2303">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07A01" w:rsidRPr="00507A01" w:rsidRDefault="00507A01" w:rsidP="00507A01">
      <w:pPr>
        <w:widowControl w:val="0"/>
        <w:numPr>
          <w:ilvl w:val="0"/>
          <w:numId w:val="18"/>
        </w:numPr>
        <w:suppressAutoHyphens/>
        <w:spacing w:after="0" w:line="240" w:lineRule="auto"/>
        <w:ind w:left="284" w:hanging="284"/>
        <w:jc w:val="both"/>
        <w:rPr>
          <w:rFonts w:ascii="Tahoma" w:eastAsia="Tahoma" w:hAnsi="Tahoma"/>
          <w:kern w:val="1"/>
          <w:sz w:val="20"/>
          <w:szCs w:val="20"/>
        </w:rPr>
      </w:pPr>
      <w:bookmarkStart w:id="3" w:name="_Hlk134777874"/>
      <w:r w:rsidRPr="00507A01">
        <w:rPr>
          <w:rFonts w:ascii="Tahoma" w:eastAsia="Tahoma" w:hAnsi="Tahoma"/>
          <w:kern w:val="1"/>
          <w:sz w:val="20"/>
          <w:szCs w:val="20"/>
        </w:rPr>
        <w:t xml:space="preserve">Zmiana umowy z przyczyn wskazanych w ust. 6 pkt. b) może nastąpić nie wcześniej niż od </w:t>
      </w:r>
      <w:r>
        <w:rPr>
          <w:rFonts w:ascii="Tahoma" w:eastAsia="Tahoma" w:hAnsi="Tahoma"/>
          <w:kern w:val="1"/>
          <w:sz w:val="20"/>
          <w:szCs w:val="20"/>
        </w:rPr>
        <w:t>1</w:t>
      </w:r>
      <w:r w:rsidRPr="00507A01">
        <w:rPr>
          <w:rFonts w:ascii="Tahoma" w:eastAsia="Tahoma" w:hAnsi="Tahoma"/>
          <w:kern w:val="1"/>
          <w:sz w:val="20"/>
          <w:szCs w:val="20"/>
        </w:rPr>
        <w:t xml:space="preserve"> </w:t>
      </w:r>
      <w:r>
        <w:rPr>
          <w:rFonts w:ascii="Tahoma" w:eastAsia="Tahoma" w:hAnsi="Tahoma"/>
          <w:kern w:val="1"/>
          <w:sz w:val="20"/>
          <w:szCs w:val="20"/>
        </w:rPr>
        <w:t xml:space="preserve">stycznia </w:t>
      </w:r>
      <w:r w:rsidRPr="00507A01">
        <w:rPr>
          <w:rFonts w:ascii="Tahoma" w:eastAsia="Tahoma" w:hAnsi="Tahoma"/>
          <w:kern w:val="1"/>
          <w:sz w:val="20"/>
          <w:szCs w:val="20"/>
        </w:rPr>
        <w:t>202</w:t>
      </w:r>
      <w:r>
        <w:rPr>
          <w:rFonts w:ascii="Tahoma" w:eastAsia="Tahoma" w:hAnsi="Tahoma"/>
          <w:kern w:val="1"/>
          <w:sz w:val="20"/>
          <w:szCs w:val="20"/>
        </w:rPr>
        <w:t>4</w:t>
      </w:r>
      <w:r w:rsidRPr="00507A01">
        <w:rPr>
          <w:rFonts w:ascii="Tahoma" w:eastAsia="Tahoma" w:hAnsi="Tahoma"/>
          <w:kern w:val="1"/>
          <w:sz w:val="20"/>
          <w:szCs w:val="20"/>
        </w:rPr>
        <w:t xml:space="preserve"> r. z uwagi na fakt, iż na dzień składania ofert znana jest wysokości kwot minimalnego wynagrodzenia, minimalnej stawki godzinowej obowiązujące od </w:t>
      </w:r>
      <w:r>
        <w:rPr>
          <w:rFonts w:ascii="Tahoma" w:eastAsia="Tahoma" w:hAnsi="Tahoma"/>
          <w:kern w:val="1"/>
          <w:sz w:val="20"/>
          <w:szCs w:val="20"/>
        </w:rPr>
        <w:t>1</w:t>
      </w:r>
      <w:r w:rsidRPr="00507A01">
        <w:rPr>
          <w:rFonts w:ascii="Tahoma" w:eastAsia="Tahoma" w:hAnsi="Tahoma"/>
          <w:kern w:val="1"/>
          <w:sz w:val="20"/>
          <w:szCs w:val="20"/>
        </w:rPr>
        <w:t xml:space="preserve"> </w:t>
      </w:r>
      <w:r>
        <w:rPr>
          <w:rFonts w:ascii="Tahoma" w:eastAsia="Tahoma" w:hAnsi="Tahoma"/>
          <w:kern w:val="1"/>
          <w:sz w:val="20"/>
          <w:szCs w:val="20"/>
        </w:rPr>
        <w:t>lipca</w:t>
      </w:r>
      <w:r w:rsidRPr="00507A01">
        <w:rPr>
          <w:rFonts w:ascii="Tahoma" w:eastAsia="Tahoma" w:hAnsi="Tahoma"/>
          <w:kern w:val="1"/>
          <w:sz w:val="20"/>
          <w:szCs w:val="20"/>
        </w:rPr>
        <w:t xml:space="preserve"> 2023 r. i wartość tych kwot została uwzględniona już w</w:t>
      </w:r>
      <w:r>
        <w:rPr>
          <w:rFonts w:ascii="Tahoma" w:eastAsia="Tahoma" w:hAnsi="Tahoma"/>
          <w:kern w:val="1"/>
          <w:sz w:val="20"/>
          <w:szCs w:val="20"/>
        </w:rPr>
        <w:t> </w:t>
      </w:r>
      <w:r w:rsidRPr="00507A01">
        <w:rPr>
          <w:rFonts w:ascii="Tahoma" w:eastAsia="Tahoma" w:hAnsi="Tahoma"/>
          <w:kern w:val="1"/>
          <w:sz w:val="20"/>
          <w:szCs w:val="20"/>
        </w:rPr>
        <w:t>wynagrodzeniu Wykonawcy, chyba że do tego czasu zmianie uległyby regulacje prawne w powyższym</w:t>
      </w:r>
      <w:r>
        <w:rPr>
          <w:rFonts w:ascii="Tahoma" w:eastAsia="Tahoma" w:hAnsi="Tahoma"/>
          <w:kern w:val="1"/>
          <w:sz w:val="20"/>
          <w:szCs w:val="20"/>
        </w:rPr>
        <w:t xml:space="preserve"> </w:t>
      </w:r>
      <w:r w:rsidRPr="00507A01">
        <w:rPr>
          <w:rFonts w:ascii="Tahoma" w:eastAsia="Tahoma" w:hAnsi="Tahoma"/>
          <w:kern w:val="1"/>
          <w:sz w:val="20"/>
          <w:szCs w:val="20"/>
        </w:rPr>
        <w:t>za</w:t>
      </w:r>
      <w:r>
        <w:rPr>
          <w:rFonts w:ascii="Tahoma" w:eastAsia="Tahoma" w:hAnsi="Tahoma"/>
          <w:kern w:val="1"/>
          <w:sz w:val="20"/>
          <w:szCs w:val="20"/>
        </w:rPr>
        <w:t>kr</w:t>
      </w:r>
      <w:r w:rsidRPr="00507A01">
        <w:rPr>
          <w:rFonts w:ascii="Tahoma" w:eastAsia="Tahoma" w:hAnsi="Tahoma"/>
          <w:kern w:val="1"/>
          <w:sz w:val="20"/>
          <w:szCs w:val="20"/>
        </w:rPr>
        <w:t>esie.</w:t>
      </w:r>
      <w:bookmarkEnd w:id="3"/>
    </w:p>
    <w:p w:rsidR="006C2303" w:rsidRDefault="006C2303" w:rsidP="006C2303">
      <w:pPr>
        <w:widowControl w:val="0"/>
        <w:numPr>
          <w:ilvl w:val="0"/>
          <w:numId w:val="18"/>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Strony dopuszczają zmianę wynagrodzenia należnego Wykonawcy w przypadku zmiany kosztów związanych z realizacją zamówienia na następujących zasadach: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 celu dokonania waloryzacji Strony przystąpią do negocjacji wysokości waloryzacji cen na podstawie wniosku jednej ze Stron, składanego nie częściej niż w okresach półrocznych.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Pr>
          <w:rFonts w:ascii="Tahoma" w:eastAsia="Tahoma" w:hAnsi="Tahoma"/>
          <w:kern w:val="1"/>
          <w:sz w:val="20"/>
          <w:szCs w:val="20"/>
        </w:rPr>
        <w:t>P</w:t>
      </w:r>
      <w:r w:rsidR="005E6F91">
        <w:rPr>
          <w:rFonts w:ascii="Tahoma" w:eastAsia="Tahoma" w:hAnsi="Tahoma"/>
          <w:kern w:val="1"/>
          <w:sz w:val="20"/>
          <w:szCs w:val="20"/>
        </w:rPr>
        <w:t>zp</w:t>
      </w:r>
      <w:proofErr w:type="spellEnd"/>
      <w:r>
        <w:rPr>
          <w:rFonts w:ascii="Tahoma" w:eastAsia="Tahoma" w:hAnsi="Tahoma"/>
          <w:kern w:val="1"/>
          <w:sz w:val="20"/>
          <w:szCs w:val="20"/>
        </w:rPr>
        <w:t>, stanowiących odrębną podstawę waloryzacji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podwyższenie cen umownych w ramach procesu waloryzacji nie może przekroczyć wysokości wskaźnika GUS, o którym mowa w pkt. a);</w:t>
      </w:r>
    </w:p>
    <w:p w:rsidR="006C2303" w:rsidRDefault="006C2303" w:rsidP="006C2303">
      <w:pPr>
        <w:widowControl w:val="0"/>
        <w:numPr>
          <w:ilvl w:val="1"/>
          <w:numId w:val="12"/>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6C2303" w:rsidRDefault="006C2303" w:rsidP="006C2303">
      <w:pPr>
        <w:widowControl w:val="0"/>
        <w:numPr>
          <w:ilvl w:val="1"/>
          <w:numId w:val="12"/>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6C2303" w:rsidRDefault="006C2303" w:rsidP="005E6F91">
      <w:pPr>
        <w:pStyle w:val="Akapitzlist"/>
        <w:numPr>
          <w:ilvl w:val="0"/>
          <w:numId w:val="18"/>
        </w:numPr>
        <w:spacing w:after="0" w:line="240" w:lineRule="auto"/>
        <w:ind w:left="709" w:hanging="567"/>
        <w:jc w:val="both"/>
        <w:rPr>
          <w:rFonts w:ascii="Tahoma" w:hAnsi="Tahoma" w:cs="Times New Roman"/>
          <w:sz w:val="20"/>
          <w:szCs w:val="20"/>
        </w:rPr>
      </w:pPr>
      <w:r>
        <w:rPr>
          <w:rFonts w:ascii="Tahoma" w:eastAsia="Calibri" w:hAnsi="Tahoma" w:cs="Times New Roman"/>
          <w:sz w:val="20"/>
          <w:szCs w:val="20"/>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rsidR="006C2303" w:rsidRDefault="003C3E40" w:rsidP="006C2303">
      <w:pPr>
        <w:pStyle w:val="Akapitzlist"/>
        <w:numPr>
          <w:ilvl w:val="0"/>
          <w:numId w:val="18"/>
        </w:numPr>
        <w:spacing w:after="0" w:line="240" w:lineRule="auto"/>
        <w:ind w:hanging="578"/>
        <w:rPr>
          <w:rFonts w:ascii="Tahoma" w:eastAsia="Arial Unicode MS" w:hAnsi="Tahoma" w:cs="Times New Roman"/>
          <w:sz w:val="20"/>
          <w:szCs w:val="20"/>
        </w:rPr>
      </w:pPr>
      <w:r>
        <w:rPr>
          <w:rFonts w:ascii="Tahoma" w:hAnsi="Tahoma" w:cs="Times New Roman"/>
          <w:sz w:val="20"/>
          <w:szCs w:val="20"/>
        </w:rPr>
        <w:t>Wszelkie z</w:t>
      </w:r>
      <w:r w:rsidR="006C2303">
        <w:rPr>
          <w:rFonts w:ascii="Tahoma" w:hAnsi="Tahoma" w:cs="Times New Roman"/>
          <w:sz w:val="20"/>
          <w:szCs w:val="20"/>
        </w:rPr>
        <w:t>miany</w:t>
      </w:r>
      <w:r w:rsidR="00C40A92">
        <w:rPr>
          <w:rFonts w:ascii="Tahoma" w:hAnsi="Tahoma" w:cs="Times New Roman"/>
          <w:sz w:val="20"/>
          <w:szCs w:val="20"/>
        </w:rPr>
        <w:t xml:space="preserve"> niniejszej umowy</w:t>
      </w:r>
      <w:r>
        <w:rPr>
          <w:rFonts w:ascii="Tahoma" w:hAnsi="Tahoma" w:cs="Times New Roman"/>
          <w:sz w:val="20"/>
          <w:szCs w:val="20"/>
        </w:rPr>
        <w:t>, z wyjątkiem</w:t>
      </w:r>
      <w:r w:rsidR="006C2303">
        <w:rPr>
          <w:rFonts w:ascii="Tahoma" w:hAnsi="Tahoma" w:cs="Times New Roman"/>
          <w:sz w:val="20"/>
          <w:szCs w:val="20"/>
        </w:rPr>
        <w:t xml:space="preserve"> określon</w:t>
      </w:r>
      <w:r>
        <w:rPr>
          <w:rFonts w:ascii="Tahoma" w:hAnsi="Tahoma" w:cs="Times New Roman"/>
          <w:sz w:val="20"/>
          <w:szCs w:val="20"/>
        </w:rPr>
        <w:t>ych</w:t>
      </w:r>
      <w:r w:rsidR="006C2303">
        <w:rPr>
          <w:rFonts w:ascii="Tahoma" w:hAnsi="Tahoma" w:cs="Times New Roman"/>
          <w:sz w:val="20"/>
          <w:szCs w:val="20"/>
        </w:rPr>
        <w:t xml:space="preserve"> w ust. 5 </w:t>
      </w:r>
      <w:r>
        <w:rPr>
          <w:rFonts w:ascii="Tahoma" w:hAnsi="Tahoma" w:cs="Times New Roman"/>
          <w:sz w:val="20"/>
          <w:szCs w:val="20"/>
        </w:rPr>
        <w:t>a</w:t>
      </w:r>
      <w:r w:rsidR="006C2303">
        <w:rPr>
          <w:rFonts w:ascii="Tahoma" w:hAnsi="Tahoma" w:cs="Times New Roman"/>
          <w:sz w:val="20"/>
          <w:szCs w:val="20"/>
        </w:rPr>
        <w:t>)</w:t>
      </w:r>
      <w:r>
        <w:rPr>
          <w:rFonts w:ascii="Tahoma" w:hAnsi="Tahoma" w:cs="Times New Roman"/>
          <w:sz w:val="20"/>
          <w:szCs w:val="20"/>
        </w:rPr>
        <w:t>,</w:t>
      </w:r>
      <w:r w:rsidR="006C2303">
        <w:rPr>
          <w:rFonts w:ascii="Tahoma" w:hAnsi="Tahoma" w:cs="Times New Roman"/>
          <w:sz w:val="20"/>
          <w:szCs w:val="20"/>
        </w:rPr>
        <w:t xml:space="preserve"> wymagają formy pisemnego aneksu pod rygorem nieważności.</w:t>
      </w:r>
    </w:p>
    <w:p w:rsidR="006C2303" w:rsidRDefault="006C2303" w:rsidP="006C2303">
      <w:pPr>
        <w:pStyle w:val="Akapitzlist"/>
        <w:numPr>
          <w:ilvl w:val="0"/>
          <w:numId w:val="18"/>
        </w:numPr>
        <w:spacing w:after="0" w:line="240" w:lineRule="auto"/>
        <w:ind w:hanging="578"/>
        <w:jc w:val="both"/>
        <w:rPr>
          <w:rFonts w:ascii="Tahoma" w:eastAsia="Times New Roman" w:hAnsi="Tahoma"/>
          <w:sz w:val="20"/>
          <w:szCs w:val="20"/>
        </w:rPr>
      </w:pPr>
      <w:r>
        <w:rPr>
          <w:rFonts w:ascii="Tahoma" w:eastAsia="Arial Unicode MS" w:hAnsi="Tahoma" w:cs="Times New Roman"/>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w:t>
      </w:r>
      <w:r>
        <w:rPr>
          <w:rFonts w:ascii="Tahoma" w:eastAsia="Arial Unicode MS" w:hAnsi="Tahoma" w:cs="Times New Roman"/>
          <w:sz w:val="20"/>
          <w:szCs w:val="20"/>
        </w:rPr>
        <w:lastRenderedPageBreak/>
        <w:t>na rachunek Wykonawcy. Naruszenie przedmiotowego zobowiązania traktowane będzie jako nienależyte wykonanie umowy i będzie stanowiło podstawę do rozwiązania z Wykonawcą umowy bez zachowania okresu wypowiedzenia z winy Wykonawcy</w:t>
      </w:r>
    </w:p>
    <w:p w:rsidR="006C2303" w:rsidRDefault="006C2303" w:rsidP="006C2303">
      <w:pPr>
        <w:widowControl w:val="0"/>
        <w:spacing w:after="0"/>
        <w:ind w:left="709" w:hanging="567"/>
        <w:jc w:val="both"/>
        <w:rPr>
          <w:rFonts w:ascii="Tahoma" w:eastAsia="Times New Roman" w:hAnsi="Tahoma"/>
          <w:sz w:val="20"/>
          <w:szCs w:val="20"/>
        </w:rPr>
      </w:pPr>
      <w:r>
        <w:rPr>
          <w:rFonts w:ascii="Tahoma" w:eastAsia="Times New Roman" w:hAnsi="Tahoma"/>
          <w:sz w:val="20"/>
          <w:szCs w:val="20"/>
        </w:rPr>
        <w:t>1</w:t>
      </w:r>
      <w:r w:rsidR="00C84C00">
        <w:rPr>
          <w:rFonts w:ascii="Tahoma" w:eastAsia="Times New Roman" w:hAnsi="Tahoma"/>
          <w:sz w:val="20"/>
          <w:szCs w:val="20"/>
        </w:rPr>
        <w:t>3</w:t>
      </w:r>
      <w:r>
        <w:rPr>
          <w:rFonts w:ascii="Tahoma" w:eastAsia="Times New Roman" w:hAnsi="Tahoma"/>
          <w:sz w:val="20"/>
          <w:szCs w:val="20"/>
        </w:rPr>
        <w:t>.   Wszelkie spory wynikłe na tle realizacji umowy będzie rozstrzygał sąd powszechny właściwy miejscowo dla     siedziby Zamawiającego.</w:t>
      </w:r>
    </w:p>
    <w:p w:rsidR="006C2303" w:rsidRDefault="006C2303" w:rsidP="005E6F91">
      <w:pPr>
        <w:widowControl w:val="0"/>
        <w:spacing w:after="0" w:line="240" w:lineRule="auto"/>
        <w:ind w:left="709" w:hanging="567"/>
        <w:jc w:val="both"/>
        <w:rPr>
          <w:rFonts w:eastAsia="Arial Unicode MS"/>
          <w:kern w:val="1"/>
        </w:rPr>
      </w:pPr>
      <w:r>
        <w:rPr>
          <w:rFonts w:ascii="Tahoma" w:eastAsia="Times New Roman" w:hAnsi="Tahoma"/>
          <w:sz w:val="20"/>
          <w:szCs w:val="20"/>
        </w:rPr>
        <w:t>1</w:t>
      </w:r>
      <w:r w:rsidR="00C84C00">
        <w:rPr>
          <w:rFonts w:ascii="Tahoma" w:eastAsia="Times New Roman" w:hAnsi="Tahoma"/>
          <w:sz w:val="20"/>
          <w:szCs w:val="20"/>
        </w:rPr>
        <w:t>4</w:t>
      </w:r>
      <w:r>
        <w:rPr>
          <w:rFonts w:ascii="Tahoma" w:eastAsia="Times New Roman" w:hAnsi="Tahoma"/>
          <w:sz w:val="20"/>
          <w:szCs w:val="20"/>
        </w:rPr>
        <w:t>.  Umowę sporządzono w trzech jednobrzmiących egzemplarzach, w tym dwa egzemplarze dla   Zamawiającego, jeden egzemplarz dla Wykonawcy.</w:t>
      </w:r>
    </w:p>
    <w:p w:rsidR="006C2303" w:rsidRDefault="006C2303" w:rsidP="006C2303">
      <w:pPr>
        <w:rPr>
          <w:rFonts w:eastAsia="Times New Roman"/>
        </w:rPr>
      </w:pPr>
    </w:p>
    <w:p w:rsidR="00C40A92" w:rsidRPr="006C2303" w:rsidRDefault="00C40A92" w:rsidP="00C40A92">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C40A92" w:rsidRPr="006C2303" w:rsidRDefault="00C40A92" w:rsidP="00C40A92">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C40A92" w:rsidRPr="006C2303" w:rsidRDefault="00C40A92" w:rsidP="00C40A92">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C40A92" w:rsidRPr="006C2303" w:rsidRDefault="00C40A92" w:rsidP="00C40A92">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C40A92" w:rsidRDefault="00C40A92" w:rsidP="006C2303">
      <w:pPr>
        <w:rPr>
          <w:rFonts w:eastAsia="Times New Roman"/>
        </w:rPr>
      </w:pPr>
    </w:p>
    <w:p w:rsidR="00C40A92" w:rsidRDefault="00C40A92"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23D4F450"/>
    <w:name w:val="WW8Num123"/>
    <w:lvl w:ilvl="0">
      <w:start w:val="2"/>
      <w:numFmt w:val="decimal"/>
      <w:lvlText w:val="%1."/>
      <w:lvlJc w:val="left"/>
      <w:pPr>
        <w:tabs>
          <w:tab w:val="num" w:pos="397"/>
        </w:tabs>
        <w:ind w:left="397" w:hanging="397"/>
      </w:pPr>
      <w:rPr>
        <w:rFonts w:ascii="Tahoma" w:eastAsia="Times New Roman" w:hAnsi="Tahoma" w:cs="Times New Roman" w:hint="default"/>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5BB839D2"/>
    <w:name w:val="WW8Num146"/>
    <w:lvl w:ilvl="0">
      <w:start w:val="7"/>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4">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6">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18">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0">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1">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2">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3CB6444C"/>
    <w:multiLevelType w:val="hybridMultilevel"/>
    <w:tmpl w:val="AD10C210"/>
    <w:name w:val="WW8Num2832"/>
    <w:lvl w:ilvl="0" w:tplc="4FEC9AFE">
      <w:start w:val="13"/>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8"/>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a Madej">
    <w15:presenceInfo w15:providerId="AD" w15:userId="S-1-5-21-2306940322-278023945-2639741289-13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6C2303"/>
    <w:rsid w:val="00025BDE"/>
    <w:rsid w:val="00045318"/>
    <w:rsid w:val="00077E99"/>
    <w:rsid w:val="00086F0D"/>
    <w:rsid w:val="000D3ABD"/>
    <w:rsid w:val="000F2D0A"/>
    <w:rsid w:val="000F631E"/>
    <w:rsid w:val="00164398"/>
    <w:rsid w:val="001B28B0"/>
    <w:rsid w:val="001B74FE"/>
    <w:rsid w:val="003452B7"/>
    <w:rsid w:val="003B1700"/>
    <w:rsid w:val="003B6193"/>
    <w:rsid w:val="003C3E40"/>
    <w:rsid w:val="003D069E"/>
    <w:rsid w:val="003E68F2"/>
    <w:rsid w:val="00412B45"/>
    <w:rsid w:val="00426A22"/>
    <w:rsid w:val="00440CE9"/>
    <w:rsid w:val="00443A39"/>
    <w:rsid w:val="00481ED1"/>
    <w:rsid w:val="004D6FA1"/>
    <w:rsid w:val="004E10FA"/>
    <w:rsid w:val="00500AC6"/>
    <w:rsid w:val="00507A01"/>
    <w:rsid w:val="00552283"/>
    <w:rsid w:val="005E6F91"/>
    <w:rsid w:val="005F36D9"/>
    <w:rsid w:val="00690821"/>
    <w:rsid w:val="00691661"/>
    <w:rsid w:val="0069473C"/>
    <w:rsid w:val="006A3339"/>
    <w:rsid w:val="006A61FA"/>
    <w:rsid w:val="006C2303"/>
    <w:rsid w:val="00711B89"/>
    <w:rsid w:val="0072491F"/>
    <w:rsid w:val="00777D45"/>
    <w:rsid w:val="007C3346"/>
    <w:rsid w:val="007E4ACF"/>
    <w:rsid w:val="008066EB"/>
    <w:rsid w:val="00820321"/>
    <w:rsid w:val="0083657A"/>
    <w:rsid w:val="00842C9E"/>
    <w:rsid w:val="00846A63"/>
    <w:rsid w:val="008E0CBA"/>
    <w:rsid w:val="008F0FF8"/>
    <w:rsid w:val="00916B3E"/>
    <w:rsid w:val="00941EF8"/>
    <w:rsid w:val="00961C9E"/>
    <w:rsid w:val="00977D77"/>
    <w:rsid w:val="009C0485"/>
    <w:rsid w:val="00AD60E6"/>
    <w:rsid w:val="00B31A74"/>
    <w:rsid w:val="00B72255"/>
    <w:rsid w:val="00C4076D"/>
    <w:rsid w:val="00C40A92"/>
    <w:rsid w:val="00C72B4B"/>
    <w:rsid w:val="00C84C00"/>
    <w:rsid w:val="00CA5AEE"/>
    <w:rsid w:val="00CC3C9A"/>
    <w:rsid w:val="00CD0B44"/>
    <w:rsid w:val="00D01808"/>
    <w:rsid w:val="00D34463"/>
    <w:rsid w:val="00D44B85"/>
    <w:rsid w:val="00D747FE"/>
    <w:rsid w:val="00DB7B08"/>
    <w:rsid w:val="00DC6A0B"/>
    <w:rsid w:val="00E00676"/>
    <w:rsid w:val="00E758B8"/>
    <w:rsid w:val="00E812A5"/>
    <w:rsid w:val="00E8192E"/>
    <w:rsid w:val="00E97A2E"/>
    <w:rsid w:val="00EB0A52"/>
    <w:rsid w:val="00EE3B7A"/>
    <w:rsid w:val="00EF6636"/>
    <w:rsid w:val="00F077A6"/>
    <w:rsid w:val="00F126A5"/>
    <w:rsid w:val="00F3122C"/>
    <w:rsid w:val="00F87953"/>
    <w:rsid w:val="00FE48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basedOn w:val="Normalny"/>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sz w:val="20"/>
      <w:szCs w:val="20"/>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 w:type="paragraph" w:styleId="Poprawka">
    <w:name w:val="Revision"/>
    <w:hidden/>
    <w:uiPriority w:val="99"/>
    <w:semiHidden/>
    <w:rsid w:val="007E4A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aparaturamedyczn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5CB9-3120-4B99-9694-8BBA86CB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3359</Words>
  <Characters>20156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9</cp:revision>
  <cp:lastPrinted>2023-05-02T07:06:00Z</cp:lastPrinted>
  <dcterms:created xsi:type="dcterms:W3CDTF">2023-05-12T07:26:00Z</dcterms:created>
  <dcterms:modified xsi:type="dcterms:W3CDTF">2023-05-24T10:08:00Z</dcterms:modified>
</cp:coreProperties>
</file>