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8E67" w14:textId="625F195C" w:rsidR="001E2B35" w:rsidRPr="00871D08" w:rsidRDefault="00320321" w:rsidP="001E2B35">
      <w:pPr>
        <w:rPr>
          <w:rFonts w:ascii="Times New Roman" w:hAnsi="Times New Roman" w:cs="Times New Roman"/>
          <w:b/>
          <w:bCs/>
          <w:sz w:val="24"/>
          <w:szCs w:val="24"/>
        </w:rPr>
      </w:pPr>
      <w:r w:rsidRPr="00871D08">
        <w:rPr>
          <w:rFonts w:ascii="Times New Roman" w:hAnsi="Times New Roman" w:cs="Times New Roman"/>
          <w:b/>
          <w:bCs/>
          <w:sz w:val="24"/>
          <w:szCs w:val="24"/>
        </w:rPr>
        <w:t>DZP.381.</w:t>
      </w:r>
      <w:r w:rsidR="005B28D2" w:rsidRPr="00871D08">
        <w:rPr>
          <w:rFonts w:ascii="Times New Roman" w:hAnsi="Times New Roman" w:cs="Times New Roman"/>
          <w:b/>
          <w:bCs/>
          <w:sz w:val="24"/>
          <w:szCs w:val="24"/>
        </w:rPr>
        <w:t>86A</w:t>
      </w:r>
      <w:r w:rsidRPr="00871D08">
        <w:rPr>
          <w:rFonts w:ascii="Times New Roman" w:hAnsi="Times New Roman" w:cs="Times New Roman"/>
          <w:b/>
          <w:bCs/>
          <w:sz w:val="24"/>
          <w:szCs w:val="24"/>
        </w:rPr>
        <w:t>.2022</w:t>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t>załącznik nr 1</w:t>
      </w:r>
      <w:r w:rsidR="00C005C0" w:rsidRPr="00871D08">
        <w:rPr>
          <w:rFonts w:ascii="Times New Roman" w:hAnsi="Times New Roman" w:cs="Times New Roman"/>
          <w:b/>
          <w:bCs/>
          <w:sz w:val="24"/>
          <w:szCs w:val="24"/>
        </w:rPr>
        <w:t>6</w:t>
      </w:r>
      <w:r w:rsidRPr="00871D08">
        <w:rPr>
          <w:rFonts w:ascii="Times New Roman" w:hAnsi="Times New Roman" w:cs="Times New Roman"/>
          <w:b/>
          <w:bCs/>
          <w:sz w:val="24"/>
          <w:szCs w:val="24"/>
        </w:rPr>
        <w:t xml:space="preserve"> </w:t>
      </w:r>
    </w:p>
    <w:p w14:paraId="2ABEE391" w14:textId="76395C4B" w:rsidR="001E2B35" w:rsidRPr="00871D08" w:rsidRDefault="001E2B35" w:rsidP="001E2B35">
      <w:pPr>
        <w:rPr>
          <w:rFonts w:ascii="Times New Roman" w:hAnsi="Times New Roman" w:cs="Times New Roman"/>
          <w:b/>
          <w:bCs/>
          <w:sz w:val="24"/>
          <w:szCs w:val="24"/>
        </w:rPr>
      </w:pPr>
      <w:r w:rsidRPr="00871D08">
        <w:rPr>
          <w:rFonts w:ascii="Times New Roman" w:hAnsi="Times New Roman" w:cs="Times New Roman"/>
          <w:b/>
          <w:bCs/>
          <w:sz w:val="24"/>
          <w:szCs w:val="24"/>
        </w:rPr>
        <w:t>Dostawa licencji systemu do zarządzania badaniami wraz z sprzętem serwerowym, wdrożeniem i szkoleniami</w:t>
      </w:r>
    </w:p>
    <w:p w14:paraId="6616764D" w14:textId="77777777" w:rsidR="006D09DE" w:rsidRPr="00871D08" w:rsidRDefault="006D09DE">
      <w:pPr>
        <w:rPr>
          <w:rFonts w:ascii="Times New Roman" w:eastAsia="Times New Roman" w:hAnsi="Times New Roman" w:cs="Times New Roman"/>
          <w:b/>
          <w:bCs/>
          <w:sz w:val="20"/>
          <w:szCs w:val="20"/>
          <w:lang w:eastAsia="pl-PL"/>
        </w:rPr>
      </w:pPr>
      <w:r w:rsidRPr="00871D08">
        <w:rPr>
          <w:rFonts w:ascii="Times New Roman" w:eastAsia="Times New Roman" w:hAnsi="Times New Roman" w:cs="Times New Roman"/>
          <w:b/>
          <w:bCs/>
          <w:sz w:val="20"/>
          <w:szCs w:val="20"/>
          <w:lang w:eastAsia="pl-PL"/>
        </w:rPr>
        <w:t>WYKAZ DO OCENY PARAMETRÓW TECHNICZNYCH</w:t>
      </w:r>
    </w:p>
    <w:p w14:paraId="2FDE3576" w14:textId="3CF85F11" w:rsidR="001E2B35" w:rsidRPr="00871D08" w:rsidRDefault="001E2B35">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5"/>
        <w:gridCol w:w="3750"/>
        <w:gridCol w:w="11"/>
        <w:gridCol w:w="89"/>
        <w:gridCol w:w="2269"/>
        <w:gridCol w:w="14"/>
        <w:gridCol w:w="1800"/>
        <w:gridCol w:w="24"/>
      </w:tblGrid>
      <w:tr w:rsidR="00871D08" w:rsidRPr="00871D08" w14:paraId="7BD1A718" w14:textId="6A49C7CC" w:rsidTr="006D4696">
        <w:tc>
          <w:tcPr>
            <w:tcW w:w="610" w:type="pct"/>
            <w:tcBorders>
              <w:top w:val="single" w:sz="4" w:space="0" w:color="auto"/>
              <w:left w:val="single" w:sz="4" w:space="0" w:color="auto"/>
              <w:bottom w:val="single" w:sz="4" w:space="0" w:color="auto"/>
              <w:right w:val="single" w:sz="4" w:space="0" w:color="auto"/>
            </w:tcBorders>
          </w:tcPr>
          <w:p w14:paraId="4C28D00C" w14:textId="74E938BC" w:rsidR="008D59BE" w:rsidRPr="00871D08" w:rsidRDefault="008D59BE" w:rsidP="00C53C30">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hAnsi="Times New Roman" w:cs="Times New Roman"/>
                <w:b/>
                <w:sz w:val="20"/>
                <w:szCs w:val="20"/>
                <w:lang w:eastAsia="ar-SA"/>
              </w:rPr>
              <w:t xml:space="preserve">Lp. </w:t>
            </w:r>
            <w:r w:rsidRPr="00871D08">
              <w:rPr>
                <w:rFonts w:ascii="Times New Roman" w:hAnsi="Times New Roman" w:cs="Times New Roman"/>
                <w:sz w:val="20"/>
                <w:szCs w:val="20"/>
                <w:lang w:eastAsia="ar-SA"/>
              </w:rPr>
              <w:t xml:space="preserve">(punktacja analogiczna do  zał. nr </w:t>
            </w:r>
            <w:r w:rsidR="001D6F12">
              <w:rPr>
                <w:rFonts w:ascii="Times New Roman" w:hAnsi="Times New Roman" w:cs="Times New Roman"/>
                <w:sz w:val="20"/>
                <w:szCs w:val="20"/>
                <w:lang w:eastAsia="ar-SA"/>
              </w:rPr>
              <w:t>8</w:t>
            </w:r>
            <w:r w:rsidRPr="00871D08">
              <w:rPr>
                <w:rFonts w:ascii="Times New Roman" w:hAnsi="Times New Roman" w:cs="Times New Roman"/>
                <w:sz w:val="20"/>
                <w:szCs w:val="20"/>
                <w:lang w:eastAsia="ar-SA"/>
              </w:rPr>
              <w:t xml:space="preserve"> do SWZ</w:t>
            </w:r>
          </w:p>
        </w:tc>
        <w:tc>
          <w:tcPr>
            <w:tcW w:w="2069" w:type="pct"/>
            <w:tcBorders>
              <w:top w:val="single" w:sz="4" w:space="0" w:color="auto"/>
              <w:left w:val="single" w:sz="4" w:space="0" w:color="auto"/>
              <w:bottom w:val="single" w:sz="4" w:space="0" w:color="auto"/>
              <w:right w:val="single" w:sz="4" w:space="0" w:color="auto"/>
            </w:tcBorders>
          </w:tcPr>
          <w:p w14:paraId="54C24735" w14:textId="77777777" w:rsidR="008D59BE" w:rsidRPr="00871D08" w:rsidRDefault="008D59BE" w:rsidP="00E8541E">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Funkcjonalności systemu do zarządzania badaniami diagnostycznymi</w:t>
            </w:r>
          </w:p>
        </w:tc>
        <w:tc>
          <w:tcPr>
            <w:tcW w:w="1315" w:type="pct"/>
            <w:gridSpan w:val="4"/>
            <w:tcBorders>
              <w:top w:val="single" w:sz="4" w:space="0" w:color="auto"/>
              <w:left w:val="single" w:sz="4" w:space="0" w:color="auto"/>
              <w:bottom w:val="single" w:sz="4" w:space="0" w:color="auto"/>
              <w:right w:val="single" w:sz="4" w:space="0" w:color="auto"/>
            </w:tcBorders>
          </w:tcPr>
          <w:p w14:paraId="3C3296D8" w14:textId="1F63E2F3" w:rsidR="008D59BE" w:rsidRPr="00871D08" w:rsidRDefault="008D59BE" w:rsidP="00E8541E">
            <w:pPr>
              <w:autoSpaceDE w:val="0"/>
              <w:autoSpaceDN w:val="0"/>
              <w:adjustRightInd w:val="0"/>
              <w:spacing w:after="0" w:line="240" w:lineRule="auto"/>
              <w:jc w:val="center"/>
              <w:rPr>
                <w:rFonts w:ascii="Times New Roman" w:eastAsia="MS Mincho" w:hAnsi="Times New Roman" w:cs="Times New Roman"/>
                <w:bCs/>
                <w:sz w:val="20"/>
                <w:szCs w:val="20"/>
                <w:lang w:eastAsia="ja-JP"/>
              </w:rPr>
            </w:pPr>
            <w:r w:rsidRPr="00871D08">
              <w:rPr>
                <w:rFonts w:ascii="Times New Roman" w:eastAsia="MS Mincho" w:hAnsi="Times New Roman" w:cs="Times New Roman"/>
                <w:bCs/>
                <w:sz w:val="20"/>
                <w:szCs w:val="20"/>
                <w:lang w:eastAsia="ja-JP"/>
              </w:rPr>
              <w:t>Punktacja</w:t>
            </w:r>
          </w:p>
        </w:tc>
        <w:tc>
          <w:tcPr>
            <w:tcW w:w="1006" w:type="pct"/>
            <w:gridSpan w:val="2"/>
            <w:tcBorders>
              <w:top w:val="single" w:sz="4" w:space="0" w:color="auto"/>
              <w:left w:val="single" w:sz="4" w:space="0" w:color="auto"/>
              <w:bottom w:val="single" w:sz="4" w:space="0" w:color="auto"/>
              <w:right w:val="single" w:sz="4" w:space="0" w:color="auto"/>
            </w:tcBorders>
          </w:tcPr>
          <w:p w14:paraId="4B057C9A" w14:textId="77777777" w:rsidR="009657C1" w:rsidRPr="00871D08" w:rsidRDefault="008D59BE" w:rsidP="008D59BE">
            <w:pPr>
              <w:overflowPunct w:val="0"/>
              <w:autoSpaceDE w:val="0"/>
              <w:ind w:right="69"/>
              <w:jc w:val="center"/>
              <w:rPr>
                <w:rFonts w:ascii="Times New Roman" w:eastAsia="MS Mincho" w:hAnsi="Times New Roman" w:cs="Times New Roman"/>
                <w:b/>
                <w:sz w:val="20"/>
                <w:szCs w:val="20"/>
                <w:lang w:eastAsia="ja-JP"/>
              </w:rPr>
            </w:pPr>
            <w:r w:rsidRPr="00871D08">
              <w:rPr>
                <w:rFonts w:ascii="Times New Roman" w:eastAsia="MS Mincho" w:hAnsi="Times New Roman" w:cs="Times New Roman"/>
                <w:b/>
                <w:sz w:val="20"/>
                <w:szCs w:val="20"/>
                <w:lang w:eastAsia="ja-JP"/>
              </w:rPr>
              <w:t xml:space="preserve">Wartość oferowana przez Wykonawcę </w:t>
            </w:r>
          </w:p>
          <w:p w14:paraId="24435E21" w14:textId="4B5DFFCF" w:rsidR="008D59BE" w:rsidRPr="00871D08" w:rsidRDefault="008D59BE" w:rsidP="008D59BE">
            <w:pPr>
              <w:overflowPunct w:val="0"/>
              <w:autoSpaceDE w:val="0"/>
              <w:ind w:right="69"/>
              <w:jc w:val="center"/>
              <w:rPr>
                <w:rFonts w:ascii="Times New Roman" w:eastAsia="Calibri" w:hAnsi="Times New Roman" w:cs="Times New Roman"/>
                <w:sz w:val="20"/>
                <w:szCs w:val="20"/>
                <w:lang w:eastAsia="ar-SA"/>
              </w:rPr>
            </w:pPr>
            <w:r w:rsidRPr="00871D08">
              <w:rPr>
                <w:rFonts w:ascii="Times New Roman" w:eastAsia="Andale Sans UI" w:hAnsi="Times New Roman" w:cs="Times New Roman"/>
                <w:kern w:val="1"/>
                <w:sz w:val="20"/>
                <w:szCs w:val="20"/>
                <w:lang w:eastAsia="ar-SA"/>
              </w:rPr>
              <w:t>(w pozycjach TAK/NIE* prosimy niewłaściwe skreślić lub zaznaczyć  właściwe stwierdzenie bez konieczności opisywania  oferowanego parametru)</w:t>
            </w:r>
          </w:p>
          <w:p w14:paraId="2B82CE8D" w14:textId="477EED8E" w:rsidR="008D59BE" w:rsidRPr="00871D08" w:rsidRDefault="008D59BE" w:rsidP="00E8541E">
            <w:pPr>
              <w:autoSpaceDE w:val="0"/>
              <w:autoSpaceDN w:val="0"/>
              <w:adjustRightInd w:val="0"/>
              <w:spacing w:after="0" w:line="240" w:lineRule="auto"/>
              <w:jc w:val="center"/>
              <w:rPr>
                <w:rFonts w:ascii="Times New Roman" w:eastAsia="MS Mincho" w:hAnsi="Times New Roman" w:cs="Times New Roman"/>
                <w:bCs/>
                <w:sz w:val="20"/>
                <w:szCs w:val="20"/>
                <w:lang w:eastAsia="ja-JP"/>
              </w:rPr>
            </w:pPr>
          </w:p>
        </w:tc>
      </w:tr>
      <w:tr w:rsidR="00871D08" w:rsidRPr="00871D08" w14:paraId="3BC91667" w14:textId="77777777" w:rsidTr="00D438E8">
        <w:tc>
          <w:tcPr>
            <w:tcW w:w="610" w:type="pct"/>
            <w:tcBorders>
              <w:top w:val="single" w:sz="4" w:space="0" w:color="auto"/>
              <w:left w:val="single" w:sz="4" w:space="0" w:color="auto"/>
              <w:bottom w:val="single" w:sz="4" w:space="0" w:color="auto"/>
              <w:right w:val="single" w:sz="4" w:space="0" w:color="auto"/>
            </w:tcBorders>
          </w:tcPr>
          <w:p w14:paraId="0A67EA99" w14:textId="509332E5" w:rsidR="00D438E8" w:rsidRPr="00871D08" w:rsidRDefault="00D438E8" w:rsidP="00D438E8">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I</w:t>
            </w:r>
          </w:p>
        </w:tc>
        <w:tc>
          <w:tcPr>
            <w:tcW w:w="4390" w:type="pct"/>
            <w:gridSpan w:val="7"/>
            <w:tcBorders>
              <w:top w:val="single" w:sz="4" w:space="0" w:color="auto"/>
              <w:left w:val="single" w:sz="4" w:space="0" w:color="auto"/>
              <w:bottom w:val="single" w:sz="4" w:space="0" w:color="auto"/>
              <w:right w:val="single" w:sz="4" w:space="0" w:color="auto"/>
            </w:tcBorders>
          </w:tcPr>
          <w:p w14:paraId="4F9FAD53" w14:textId="3A145C26" w:rsidR="00D438E8" w:rsidRPr="00871D08" w:rsidRDefault="00D438E8" w:rsidP="00D438E8">
            <w:pPr>
              <w:autoSpaceDE w:val="0"/>
              <w:autoSpaceDN w:val="0"/>
              <w:adjustRightInd w:val="0"/>
              <w:spacing w:after="0" w:line="240" w:lineRule="auto"/>
              <w:jc w:val="center"/>
              <w:rPr>
                <w:rStyle w:val="BodytextExact"/>
                <w:rFonts w:ascii="Times New Roman" w:hAnsi="Times New Roman" w:cs="Times New Roman"/>
                <w:b/>
                <w:color w:val="auto"/>
              </w:rPr>
            </w:pPr>
            <w:r w:rsidRPr="00871D08">
              <w:rPr>
                <w:rStyle w:val="BodytextExact"/>
                <w:rFonts w:ascii="Times New Roman" w:hAnsi="Times New Roman" w:cs="Times New Roman"/>
                <w:b/>
                <w:color w:val="auto"/>
              </w:rPr>
              <w:t>Wymagania ogólne</w:t>
            </w:r>
          </w:p>
        </w:tc>
      </w:tr>
      <w:tr w:rsidR="00871D08" w:rsidRPr="00871D08" w14:paraId="7144949B" w14:textId="77777777" w:rsidTr="006D4696">
        <w:tc>
          <w:tcPr>
            <w:tcW w:w="610" w:type="pct"/>
            <w:tcBorders>
              <w:top w:val="single" w:sz="4" w:space="0" w:color="auto"/>
              <w:left w:val="single" w:sz="4" w:space="0" w:color="auto"/>
              <w:bottom w:val="single" w:sz="4" w:space="0" w:color="auto"/>
              <w:right w:val="single" w:sz="4" w:space="0" w:color="auto"/>
            </w:tcBorders>
          </w:tcPr>
          <w:p w14:paraId="5CC97815" w14:textId="3A1FF94B" w:rsidR="00D438E8" w:rsidRPr="00871D08" w:rsidRDefault="00D438E8" w:rsidP="00D438E8">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4</w:t>
            </w:r>
          </w:p>
        </w:tc>
        <w:tc>
          <w:tcPr>
            <w:tcW w:w="2124" w:type="pct"/>
            <w:gridSpan w:val="3"/>
            <w:tcBorders>
              <w:top w:val="single" w:sz="4" w:space="0" w:color="auto"/>
              <w:left w:val="single" w:sz="4" w:space="0" w:color="auto"/>
              <w:bottom w:val="single" w:sz="4" w:space="0" w:color="auto"/>
              <w:right w:val="single" w:sz="4" w:space="0" w:color="auto"/>
            </w:tcBorders>
          </w:tcPr>
          <w:p w14:paraId="508C75FD" w14:textId="03EFD32B" w:rsidR="00934B2F" w:rsidRPr="00871D08" w:rsidRDefault="00D438E8" w:rsidP="00934B2F">
            <w:pPr>
              <w:autoSpaceDE w:val="0"/>
              <w:autoSpaceDN w:val="0"/>
              <w:adjustRightInd w:val="0"/>
              <w:spacing w:after="0" w:line="240" w:lineRule="auto"/>
              <w:rPr>
                <w:rStyle w:val="BodytextExact"/>
                <w:rFonts w:ascii="Times New Roman" w:hAnsi="Times New Roman" w:cs="Times New Roman"/>
                <w:color w:val="auto"/>
              </w:rPr>
            </w:pPr>
            <w:r w:rsidRPr="00871D08">
              <w:rPr>
                <w:rStyle w:val="BodytextExact"/>
                <w:rFonts w:ascii="Times New Roman" w:hAnsi="Times New Roman" w:cs="Times New Roman"/>
                <w:color w:val="auto"/>
              </w:rPr>
              <w:t xml:space="preserve">Dostarczony system </w:t>
            </w:r>
            <w:r w:rsidR="00934B2F" w:rsidRPr="00871D08">
              <w:rPr>
                <w:rStyle w:val="BodytextExact"/>
                <w:rFonts w:ascii="Times New Roman" w:hAnsi="Times New Roman" w:cs="Times New Roman"/>
                <w:color w:val="auto"/>
              </w:rPr>
              <w:t xml:space="preserve">będzie </w:t>
            </w:r>
            <w:r w:rsidRPr="00871D08">
              <w:rPr>
                <w:rStyle w:val="BodytextExact"/>
                <w:rFonts w:ascii="Times New Roman" w:hAnsi="Times New Roman" w:cs="Times New Roman"/>
                <w:color w:val="auto"/>
              </w:rPr>
              <w:t xml:space="preserve">zintegrowany </w:t>
            </w:r>
            <w:r w:rsidR="00934B2F" w:rsidRPr="00871D08">
              <w:rPr>
                <w:rStyle w:val="BodytextExact"/>
                <w:rFonts w:ascii="Times New Roman" w:hAnsi="Times New Roman" w:cs="Times New Roman"/>
                <w:color w:val="auto"/>
              </w:rPr>
              <w:t>oprócz integracji z obowiązkowymi systemami [</w:t>
            </w:r>
            <w:r w:rsidR="00934B2F" w:rsidRPr="00871D08">
              <w:t xml:space="preserve"> tj. </w:t>
            </w:r>
            <w:r w:rsidR="00934B2F" w:rsidRPr="00871D08">
              <w:rPr>
                <w:rStyle w:val="BodytextExact"/>
                <w:rFonts w:ascii="Times New Roman" w:hAnsi="Times New Roman" w:cs="Times New Roman"/>
                <w:color w:val="auto"/>
              </w:rPr>
              <w:t xml:space="preserve">a) systemem HIS Zamawiającego -AMMS Asseco Poland, b) systemem EDM Zamawiającego -EDM Asseco Poland, </w:t>
            </w:r>
          </w:p>
          <w:p w14:paraId="37975310" w14:textId="2B07ECA0" w:rsidR="00934B2F" w:rsidRPr="00871D08" w:rsidRDefault="00934B2F" w:rsidP="00934B2F">
            <w:pPr>
              <w:autoSpaceDE w:val="0"/>
              <w:autoSpaceDN w:val="0"/>
              <w:adjustRightInd w:val="0"/>
              <w:spacing w:after="0" w:line="240" w:lineRule="auto"/>
              <w:rPr>
                <w:rStyle w:val="BodytextExact"/>
                <w:rFonts w:ascii="Times New Roman" w:hAnsi="Times New Roman" w:cs="Times New Roman"/>
                <w:color w:val="auto"/>
              </w:rPr>
            </w:pPr>
            <w:r w:rsidRPr="00871D08">
              <w:rPr>
                <w:rStyle w:val="BodytextExact"/>
                <w:rFonts w:ascii="Times New Roman" w:hAnsi="Times New Roman" w:cs="Times New Roman"/>
                <w:color w:val="auto"/>
              </w:rPr>
              <w:t>c) systemem teleradiologicznym Prowega</w:t>
            </w:r>
          </w:p>
          <w:p w14:paraId="71989A2E" w14:textId="5FF0EF05" w:rsidR="00D438E8" w:rsidRPr="00871D08" w:rsidRDefault="00934B2F" w:rsidP="00934B2F">
            <w:pPr>
              <w:autoSpaceDE w:val="0"/>
              <w:autoSpaceDN w:val="0"/>
              <w:adjustRightInd w:val="0"/>
              <w:spacing w:after="0" w:line="240" w:lineRule="auto"/>
              <w:rPr>
                <w:rStyle w:val="BodytextExact"/>
                <w:rFonts w:ascii="Times New Roman" w:hAnsi="Times New Roman" w:cs="Times New Roman"/>
                <w:b/>
                <w:color w:val="auto"/>
              </w:rPr>
            </w:pPr>
            <w:r w:rsidRPr="00871D08">
              <w:rPr>
                <w:rStyle w:val="BodytextExact"/>
                <w:rFonts w:ascii="Times New Roman" w:hAnsi="Times New Roman" w:cs="Times New Roman"/>
                <w:color w:val="auto"/>
              </w:rPr>
              <w:t xml:space="preserve">d) systemem Syngo.Via Siemens produkcji Siemens ( Zamawiający posiada 3 instalacje tego systemu )] również </w:t>
            </w:r>
            <w:r w:rsidR="00E464FD" w:rsidRPr="00871D08">
              <w:rPr>
                <w:rStyle w:val="BodytextExact"/>
                <w:rFonts w:ascii="Times New Roman" w:hAnsi="Times New Roman" w:cs="Times New Roman"/>
                <w:color w:val="auto"/>
              </w:rPr>
              <w:t>z</w:t>
            </w:r>
            <w:r w:rsidR="00E464FD" w:rsidRPr="00871D08">
              <w:rPr>
                <w:rStyle w:val="BodytextExact"/>
                <w:color w:val="auto"/>
              </w:rPr>
              <w:t xml:space="preserve"> systemem </w:t>
            </w:r>
            <w:r w:rsidR="00D438E8" w:rsidRPr="00871D08">
              <w:rPr>
                <w:rStyle w:val="BodytextExact"/>
                <w:rFonts w:ascii="Times New Roman" w:hAnsi="Times New Roman" w:cs="Times New Roman"/>
                <w:color w:val="auto"/>
              </w:rPr>
              <w:t xml:space="preserve"> System Osirix MD</w:t>
            </w:r>
          </w:p>
        </w:tc>
        <w:tc>
          <w:tcPr>
            <w:tcW w:w="1252" w:type="pct"/>
            <w:tcBorders>
              <w:top w:val="single" w:sz="4" w:space="0" w:color="auto"/>
              <w:left w:val="single" w:sz="4" w:space="0" w:color="auto"/>
              <w:bottom w:val="single" w:sz="4" w:space="0" w:color="auto"/>
              <w:right w:val="single" w:sz="4" w:space="0" w:color="auto"/>
            </w:tcBorders>
          </w:tcPr>
          <w:p w14:paraId="01C12000" w14:textId="390E6B28" w:rsidR="00D438E8" w:rsidRPr="00871D08" w:rsidRDefault="00934B2F" w:rsidP="00D438E8">
            <w:pPr>
              <w:autoSpaceDE w:val="0"/>
              <w:autoSpaceDN w:val="0"/>
              <w:adjustRightInd w:val="0"/>
              <w:spacing w:after="0" w:line="240" w:lineRule="auto"/>
              <w:jc w:val="center"/>
              <w:rPr>
                <w:rStyle w:val="BodytextExact"/>
                <w:rFonts w:ascii="Times New Roman" w:hAnsi="Times New Roman" w:cs="Times New Roman"/>
                <w:b/>
                <w:color w:val="auto"/>
              </w:rPr>
            </w:pPr>
            <w:r w:rsidRPr="00871D08">
              <w:rPr>
                <w:rStyle w:val="BodytextExact"/>
                <w:rFonts w:ascii="Times New Roman" w:hAnsi="Times New Roman" w:cs="Times New Roman"/>
                <w:b/>
                <w:color w:val="auto"/>
              </w:rPr>
              <w:t>TAK</w:t>
            </w:r>
            <w:r w:rsidR="00D438E8" w:rsidRPr="00871D08">
              <w:rPr>
                <w:rStyle w:val="BodytextExact"/>
                <w:rFonts w:ascii="Times New Roman" w:hAnsi="Times New Roman" w:cs="Times New Roman"/>
                <w:b/>
                <w:color w:val="auto"/>
              </w:rPr>
              <w:t xml:space="preserve"> -2 pkt </w:t>
            </w:r>
          </w:p>
          <w:p w14:paraId="065FCED3" w14:textId="7931BD49" w:rsidR="00D438E8" w:rsidRPr="00871D08" w:rsidRDefault="00934B2F" w:rsidP="00D438E8">
            <w:pPr>
              <w:autoSpaceDE w:val="0"/>
              <w:autoSpaceDN w:val="0"/>
              <w:adjustRightInd w:val="0"/>
              <w:spacing w:after="0" w:line="240" w:lineRule="auto"/>
              <w:jc w:val="center"/>
              <w:rPr>
                <w:rStyle w:val="BodytextExact"/>
                <w:rFonts w:ascii="Times New Roman" w:hAnsi="Times New Roman" w:cs="Times New Roman"/>
                <w:b/>
                <w:color w:val="auto"/>
              </w:rPr>
            </w:pPr>
            <w:r w:rsidRPr="00871D08">
              <w:rPr>
                <w:rStyle w:val="BodytextExact"/>
                <w:rFonts w:ascii="Times New Roman" w:hAnsi="Times New Roman" w:cs="Times New Roman"/>
                <w:b/>
                <w:color w:val="auto"/>
              </w:rPr>
              <w:t xml:space="preserve">NIE </w:t>
            </w:r>
            <w:r w:rsidR="00D438E8" w:rsidRPr="00871D08">
              <w:rPr>
                <w:rStyle w:val="BodytextExact"/>
                <w:rFonts w:ascii="Times New Roman" w:hAnsi="Times New Roman" w:cs="Times New Roman"/>
                <w:b/>
                <w:color w:val="auto"/>
              </w:rPr>
              <w:t xml:space="preserve"> – 0 pkt</w:t>
            </w:r>
          </w:p>
        </w:tc>
        <w:tc>
          <w:tcPr>
            <w:tcW w:w="1014" w:type="pct"/>
            <w:gridSpan w:val="3"/>
            <w:tcBorders>
              <w:top w:val="single" w:sz="4" w:space="0" w:color="auto"/>
              <w:left w:val="single" w:sz="4" w:space="0" w:color="auto"/>
              <w:bottom w:val="single" w:sz="4" w:space="0" w:color="auto"/>
              <w:right w:val="single" w:sz="4" w:space="0" w:color="auto"/>
            </w:tcBorders>
          </w:tcPr>
          <w:p w14:paraId="3810A2DC" w14:textId="0FFB1C4D" w:rsidR="00D438E8" w:rsidRPr="00871D08" w:rsidRDefault="00E464FD" w:rsidP="00D438E8">
            <w:pPr>
              <w:autoSpaceDE w:val="0"/>
              <w:autoSpaceDN w:val="0"/>
              <w:adjustRightInd w:val="0"/>
              <w:spacing w:after="0" w:line="240" w:lineRule="auto"/>
              <w:jc w:val="center"/>
              <w:rPr>
                <w:rStyle w:val="BodytextExact"/>
                <w:rFonts w:ascii="Times New Roman" w:hAnsi="Times New Roman" w:cs="Times New Roman"/>
                <w:color w:val="auto"/>
              </w:rPr>
            </w:pPr>
            <w:r w:rsidRPr="00871D08">
              <w:rPr>
                <w:rFonts w:ascii="Times New Roman" w:eastAsia="MS Mincho" w:hAnsi="Times New Roman" w:cs="Times New Roman"/>
                <w:sz w:val="20"/>
                <w:szCs w:val="20"/>
                <w:lang w:eastAsia="ja-JP"/>
              </w:rPr>
              <w:t>TAK/NIE*</w:t>
            </w:r>
          </w:p>
        </w:tc>
      </w:tr>
      <w:tr w:rsidR="00871D08" w:rsidRPr="00871D08" w14:paraId="0E4396EE" w14:textId="77777777" w:rsidTr="00D438E8">
        <w:tc>
          <w:tcPr>
            <w:tcW w:w="610" w:type="pct"/>
            <w:tcBorders>
              <w:top w:val="single" w:sz="4" w:space="0" w:color="auto"/>
              <w:left w:val="single" w:sz="4" w:space="0" w:color="auto"/>
              <w:bottom w:val="single" w:sz="4" w:space="0" w:color="auto"/>
              <w:right w:val="single" w:sz="4" w:space="0" w:color="auto"/>
            </w:tcBorders>
          </w:tcPr>
          <w:p w14:paraId="2B3BF70A" w14:textId="1142193A" w:rsidR="00D438E8" w:rsidRPr="00871D08" w:rsidRDefault="00D438E8" w:rsidP="00D438E8">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19</w:t>
            </w:r>
          </w:p>
        </w:tc>
        <w:tc>
          <w:tcPr>
            <w:tcW w:w="2124" w:type="pct"/>
            <w:gridSpan w:val="3"/>
            <w:tcBorders>
              <w:top w:val="single" w:sz="4" w:space="0" w:color="auto"/>
              <w:left w:val="single" w:sz="4" w:space="0" w:color="auto"/>
              <w:bottom w:val="single" w:sz="4" w:space="0" w:color="auto"/>
              <w:right w:val="single" w:sz="4" w:space="0" w:color="auto"/>
            </w:tcBorders>
          </w:tcPr>
          <w:p w14:paraId="1798B2D1" w14:textId="610E4418" w:rsidR="00D438E8" w:rsidRPr="008C18C7" w:rsidRDefault="0047048A" w:rsidP="004A0C9A">
            <w:pPr>
              <w:autoSpaceDE w:val="0"/>
              <w:autoSpaceDN w:val="0"/>
              <w:adjustRightInd w:val="0"/>
              <w:spacing w:after="0" w:line="240" w:lineRule="auto"/>
              <w:rPr>
                <w:rStyle w:val="BodytextExact"/>
                <w:rFonts w:ascii="Times New Roman" w:hAnsi="Times New Roman" w:cs="Times New Roman"/>
                <w:color w:val="auto"/>
              </w:rPr>
            </w:pPr>
            <w:r w:rsidRPr="00871D08">
              <w:rPr>
                <w:rStyle w:val="BodytextExact"/>
                <w:rFonts w:ascii="Times New Roman" w:hAnsi="Times New Roman" w:cs="Times New Roman"/>
                <w:color w:val="auto"/>
              </w:rPr>
              <w:t xml:space="preserve">Funkcjonalność 1: </w:t>
            </w:r>
            <w:r w:rsidR="004A0C9A" w:rsidRPr="00871D08">
              <w:rPr>
                <w:rStyle w:val="BodytextExact"/>
                <w:rFonts w:ascii="Times New Roman" w:hAnsi="Times New Roman" w:cs="Times New Roman"/>
                <w:color w:val="auto"/>
              </w:rPr>
              <w:t>Wszystkie moduły systemu do zarządzania badaniami diagnostycznymi działa</w:t>
            </w:r>
            <w:r w:rsidR="00934B2F" w:rsidRPr="00871D08">
              <w:rPr>
                <w:rStyle w:val="BodytextExact"/>
                <w:rFonts w:ascii="Times New Roman" w:hAnsi="Times New Roman" w:cs="Times New Roman"/>
                <w:color w:val="auto"/>
              </w:rPr>
              <w:t>jące</w:t>
            </w:r>
            <w:r w:rsidR="004A0C9A" w:rsidRPr="00871D08">
              <w:rPr>
                <w:rStyle w:val="BodytextExact"/>
                <w:rFonts w:ascii="Times New Roman" w:hAnsi="Times New Roman" w:cs="Times New Roman"/>
                <w:color w:val="auto"/>
              </w:rPr>
              <w:t xml:space="preserve"> na systemach z rodziny </w:t>
            </w:r>
            <w:r w:rsidR="004A0C9A" w:rsidRPr="008C18C7">
              <w:rPr>
                <w:rStyle w:val="BodytextExact"/>
                <w:rFonts w:ascii="Times New Roman" w:hAnsi="Times New Roman" w:cs="Times New Roman"/>
                <w:color w:val="auto"/>
              </w:rPr>
              <w:t>Windows oraz mac-OS</w:t>
            </w:r>
          </w:p>
          <w:p w14:paraId="37684BDD" w14:textId="595E2504" w:rsidR="0047048A" w:rsidRPr="008C18C7" w:rsidRDefault="0047048A" w:rsidP="004A0C9A">
            <w:pPr>
              <w:autoSpaceDE w:val="0"/>
              <w:autoSpaceDN w:val="0"/>
              <w:adjustRightInd w:val="0"/>
              <w:spacing w:after="0" w:line="240" w:lineRule="auto"/>
              <w:rPr>
                <w:rStyle w:val="BodytextExact"/>
                <w:rFonts w:ascii="Times New Roman" w:hAnsi="Times New Roman" w:cs="Times New Roman"/>
                <w:color w:val="auto"/>
              </w:rPr>
            </w:pPr>
            <w:r w:rsidRPr="008C18C7">
              <w:rPr>
                <w:rStyle w:val="BodytextExact"/>
                <w:rFonts w:ascii="Times New Roman" w:hAnsi="Times New Roman" w:cs="Times New Roman"/>
                <w:color w:val="auto"/>
              </w:rPr>
              <w:t>Funkcjonalność 2:</w:t>
            </w:r>
          </w:p>
          <w:p w14:paraId="0BBF0351" w14:textId="32A65FC7" w:rsidR="0047048A" w:rsidRPr="008C18C7" w:rsidRDefault="006F2E80" w:rsidP="006D4696">
            <w:pPr>
              <w:autoSpaceDE w:val="0"/>
              <w:autoSpaceDN w:val="0"/>
              <w:adjustRightInd w:val="0"/>
              <w:spacing w:after="0" w:line="240" w:lineRule="auto"/>
              <w:contextualSpacing/>
              <w:rPr>
                <w:rStyle w:val="BodytextExact"/>
                <w:rFonts w:ascii="Times New Roman" w:hAnsi="Times New Roman" w:cs="Times New Roman"/>
                <w:color w:val="auto"/>
              </w:rPr>
            </w:pPr>
            <w:r w:rsidRPr="008C18C7">
              <w:rPr>
                <w:rStyle w:val="BodytextExact"/>
                <w:rFonts w:ascii="Times New Roman" w:hAnsi="Times New Roman" w:cs="Times New Roman"/>
                <w:color w:val="auto"/>
              </w:rPr>
              <w:t>Wszystkie moduły systemu do zarządzania badaniami diagnostycznymi działające na systemach z rodziny Windows</w:t>
            </w:r>
            <w:r w:rsidR="008C18C7" w:rsidRPr="008C18C7">
              <w:rPr>
                <w:rStyle w:val="BodytextExact"/>
                <w:rFonts w:ascii="Times New Roman" w:hAnsi="Times New Roman" w:cs="Times New Roman"/>
                <w:color w:val="auto"/>
              </w:rPr>
              <w:t xml:space="preserve"> (b</w:t>
            </w:r>
            <w:r w:rsidR="0047048A" w:rsidRPr="008C18C7">
              <w:rPr>
                <w:rFonts w:ascii="Times New Roman" w:hAnsi="Times New Roman" w:cs="Times New Roman"/>
                <w:sz w:val="20"/>
                <w:szCs w:val="20"/>
              </w:rPr>
              <w:t>rak możliwości uruchomienia dostarczonego systemu na systemie mac-OS</w:t>
            </w:r>
            <w:r w:rsidR="008C18C7" w:rsidRPr="008C18C7">
              <w:rPr>
                <w:rFonts w:ascii="Times New Roman" w:hAnsi="Times New Roman" w:cs="Times New Roman"/>
                <w:sz w:val="20"/>
                <w:szCs w:val="20"/>
              </w:rPr>
              <w:t>)</w:t>
            </w:r>
            <w:r w:rsidRPr="008C18C7">
              <w:rPr>
                <w:rFonts w:ascii="Times New Roman" w:hAnsi="Times New Roman" w:cs="Times New Roman"/>
                <w:sz w:val="20"/>
                <w:szCs w:val="20"/>
              </w:rPr>
              <w:t xml:space="preserve"> i </w:t>
            </w:r>
            <w:r w:rsidR="0047048A" w:rsidRPr="008C18C7">
              <w:rPr>
                <w:rFonts w:ascii="Times New Roman" w:hAnsi="Times New Roman" w:cs="Times New Roman"/>
                <w:sz w:val="20"/>
                <w:szCs w:val="20"/>
              </w:rPr>
              <w:t xml:space="preserve"> dostarczenie dodatkowych dwóch komputerów ALL in ONE (do których będzie można podłączyć po dwa dodatkowe monitory diagnostyczne)  </w:t>
            </w:r>
            <w:r w:rsidR="0047048A" w:rsidRPr="008C18C7">
              <w:rPr>
                <w:rFonts w:ascii="Times New Roman" w:hAnsi="Times New Roman" w:cs="Times New Roman"/>
              </w:rPr>
              <w:t>na których będzie można uruchomić dostarczony system</w:t>
            </w:r>
          </w:p>
          <w:p w14:paraId="5086BAF1" w14:textId="70CB7A89" w:rsidR="00934B2F" w:rsidRPr="00871D08" w:rsidRDefault="00934B2F" w:rsidP="004A0C9A">
            <w:pPr>
              <w:autoSpaceDE w:val="0"/>
              <w:autoSpaceDN w:val="0"/>
              <w:adjustRightInd w:val="0"/>
              <w:spacing w:after="0" w:line="240" w:lineRule="auto"/>
              <w:rPr>
                <w:rStyle w:val="BodytextExact"/>
                <w:rFonts w:ascii="Times New Roman" w:hAnsi="Times New Roman" w:cs="Times New Roman"/>
                <w:color w:val="auto"/>
              </w:rPr>
            </w:pPr>
          </w:p>
        </w:tc>
        <w:tc>
          <w:tcPr>
            <w:tcW w:w="1252" w:type="pct"/>
            <w:tcBorders>
              <w:top w:val="single" w:sz="4" w:space="0" w:color="auto"/>
              <w:left w:val="single" w:sz="4" w:space="0" w:color="auto"/>
              <w:bottom w:val="single" w:sz="4" w:space="0" w:color="auto"/>
              <w:right w:val="single" w:sz="4" w:space="0" w:color="auto"/>
            </w:tcBorders>
          </w:tcPr>
          <w:p w14:paraId="1269DCF7" w14:textId="00E80582" w:rsidR="009F326E" w:rsidRPr="00871D08" w:rsidRDefault="0047048A" w:rsidP="009F326E">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 xml:space="preserve">Funkcjonalność </w:t>
            </w:r>
            <w:r w:rsidR="006324A9" w:rsidRPr="00871D08">
              <w:rPr>
                <w:rFonts w:ascii="Times New Roman" w:eastAsia="MS Mincho" w:hAnsi="Times New Roman" w:cs="Times New Roman"/>
                <w:sz w:val="20"/>
                <w:szCs w:val="20"/>
                <w:lang w:eastAsia="ja-JP"/>
              </w:rPr>
              <w:t xml:space="preserve">wskazana w pkt </w:t>
            </w:r>
            <w:r w:rsidRPr="00871D08">
              <w:rPr>
                <w:rFonts w:ascii="Times New Roman" w:eastAsia="MS Mincho" w:hAnsi="Times New Roman" w:cs="Times New Roman"/>
                <w:sz w:val="20"/>
                <w:szCs w:val="20"/>
                <w:lang w:eastAsia="ja-JP"/>
              </w:rPr>
              <w:t xml:space="preserve">1 </w:t>
            </w:r>
            <w:r w:rsidR="009F326E" w:rsidRPr="00871D08">
              <w:rPr>
                <w:rFonts w:ascii="Times New Roman" w:eastAsia="MS Mincho" w:hAnsi="Times New Roman" w:cs="Times New Roman"/>
                <w:sz w:val="20"/>
                <w:szCs w:val="20"/>
                <w:lang w:eastAsia="ja-JP"/>
              </w:rPr>
              <w:t xml:space="preserve"> – 2 pkt</w:t>
            </w:r>
          </w:p>
          <w:p w14:paraId="024EA635" w14:textId="60280BD7" w:rsidR="009F326E" w:rsidRPr="00871D08" w:rsidRDefault="0047048A" w:rsidP="009F326E">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Funkcjonalność</w:t>
            </w:r>
            <w:r w:rsidR="006324A9" w:rsidRPr="00871D08">
              <w:rPr>
                <w:rFonts w:ascii="Times New Roman" w:eastAsia="MS Mincho" w:hAnsi="Times New Roman" w:cs="Times New Roman"/>
                <w:sz w:val="20"/>
                <w:szCs w:val="20"/>
                <w:lang w:eastAsia="ja-JP"/>
              </w:rPr>
              <w:t xml:space="preserve"> wskazana w punkcie </w:t>
            </w:r>
            <w:r w:rsidRPr="00871D08">
              <w:rPr>
                <w:rFonts w:ascii="Times New Roman" w:eastAsia="MS Mincho" w:hAnsi="Times New Roman" w:cs="Times New Roman"/>
                <w:sz w:val="20"/>
                <w:szCs w:val="20"/>
                <w:lang w:eastAsia="ja-JP"/>
              </w:rPr>
              <w:t xml:space="preserve"> 2 </w:t>
            </w:r>
            <w:r w:rsidR="009F326E" w:rsidRPr="00871D08">
              <w:rPr>
                <w:rFonts w:ascii="Times New Roman" w:eastAsia="MS Mincho" w:hAnsi="Times New Roman" w:cs="Times New Roman"/>
                <w:sz w:val="20"/>
                <w:szCs w:val="20"/>
                <w:lang w:eastAsia="ja-JP"/>
              </w:rPr>
              <w:t>- 0 pkt</w:t>
            </w:r>
          </w:p>
          <w:p w14:paraId="5BBE8172" w14:textId="0074A4D0" w:rsidR="009F326E" w:rsidRPr="00871D08" w:rsidRDefault="009F326E" w:rsidP="00D438E8">
            <w:pPr>
              <w:autoSpaceDE w:val="0"/>
              <w:autoSpaceDN w:val="0"/>
              <w:adjustRightInd w:val="0"/>
              <w:spacing w:after="0" w:line="240" w:lineRule="auto"/>
              <w:jc w:val="center"/>
              <w:rPr>
                <w:rStyle w:val="BodytextExact"/>
                <w:rFonts w:ascii="Times New Roman" w:hAnsi="Times New Roman" w:cs="Times New Roman"/>
                <w:b/>
                <w:color w:val="auto"/>
              </w:rPr>
            </w:pPr>
          </w:p>
        </w:tc>
        <w:tc>
          <w:tcPr>
            <w:tcW w:w="1014" w:type="pct"/>
            <w:gridSpan w:val="3"/>
            <w:tcBorders>
              <w:top w:val="single" w:sz="4" w:space="0" w:color="auto"/>
              <w:left w:val="single" w:sz="4" w:space="0" w:color="auto"/>
              <w:bottom w:val="single" w:sz="4" w:space="0" w:color="auto"/>
              <w:right w:val="single" w:sz="4" w:space="0" w:color="auto"/>
            </w:tcBorders>
          </w:tcPr>
          <w:p w14:paraId="36810257" w14:textId="7B5B191C" w:rsidR="00D438E8" w:rsidRPr="00871D08" w:rsidRDefault="00E464FD" w:rsidP="00D438E8">
            <w:pPr>
              <w:autoSpaceDE w:val="0"/>
              <w:autoSpaceDN w:val="0"/>
              <w:adjustRightInd w:val="0"/>
              <w:spacing w:after="0" w:line="240" w:lineRule="auto"/>
              <w:jc w:val="center"/>
              <w:rPr>
                <w:rStyle w:val="BodytextExact"/>
                <w:rFonts w:ascii="Times New Roman" w:hAnsi="Times New Roman" w:cs="Times New Roman"/>
                <w:b/>
                <w:color w:val="auto"/>
              </w:rPr>
            </w:pPr>
            <w:r w:rsidRPr="00871D08">
              <w:rPr>
                <w:rFonts w:ascii="Times New Roman" w:eastAsia="MS Mincho" w:hAnsi="Times New Roman" w:cs="Times New Roman"/>
                <w:sz w:val="20"/>
                <w:szCs w:val="20"/>
                <w:lang w:eastAsia="ja-JP"/>
              </w:rPr>
              <w:t>Podać numer zaoferowanej funkcjonalności ………</w:t>
            </w:r>
          </w:p>
        </w:tc>
      </w:tr>
      <w:tr w:rsidR="00871D08" w:rsidRPr="00871D08" w14:paraId="66092840" w14:textId="77777777" w:rsidTr="00D438E8">
        <w:tc>
          <w:tcPr>
            <w:tcW w:w="610" w:type="pct"/>
            <w:tcBorders>
              <w:top w:val="single" w:sz="4" w:space="0" w:color="auto"/>
              <w:left w:val="single" w:sz="4" w:space="0" w:color="auto"/>
              <w:bottom w:val="single" w:sz="4" w:space="0" w:color="auto"/>
              <w:right w:val="single" w:sz="4" w:space="0" w:color="auto"/>
            </w:tcBorders>
          </w:tcPr>
          <w:p w14:paraId="507EAD01" w14:textId="1CE29B44" w:rsidR="00D438E8" w:rsidRPr="00871D08" w:rsidRDefault="00D438E8" w:rsidP="00D438E8">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lastRenderedPageBreak/>
              <w:t>A</w:t>
            </w:r>
          </w:p>
        </w:tc>
        <w:tc>
          <w:tcPr>
            <w:tcW w:w="4390" w:type="pct"/>
            <w:gridSpan w:val="7"/>
            <w:tcBorders>
              <w:top w:val="single" w:sz="4" w:space="0" w:color="auto"/>
              <w:left w:val="single" w:sz="4" w:space="0" w:color="auto"/>
              <w:bottom w:val="single" w:sz="4" w:space="0" w:color="auto"/>
              <w:right w:val="single" w:sz="4" w:space="0" w:color="auto"/>
            </w:tcBorders>
          </w:tcPr>
          <w:p w14:paraId="0AE09D8F" w14:textId="5BAECC89"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bookmarkStart w:id="0" w:name="_Hlk109289473"/>
            <w:r w:rsidRPr="00871D08">
              <w:rPr>
                <w:rStyle w:val="BodytextExact"/>
                <w:rFonts w:ascii="Times New Roman" w:hAnsi="Times New Roman" w:cs="Times New Roman"/>
                <w:b/>
                <w:color w:val="auto"/>
              </w:rPr>
              <w:t>Moduł do zarządzania badaniami w Zakładzie Radiologii (RIS)</w:t>
            </w:r>
            <w:bookmarkEnd w:id="0"/>
          </w:p>
        </w:tc>
      </w:tr>
      <w:tr w:rsidR="00871D08" w:rsidRPr="00871D08" w14:paraId="429A26D9" w14:textId="543AD136" w:rsidTr="006D4696">
        <w:tc>
          <w:tcPr>
            <w:tcW w:w="610" w:type="pct"/>
            <w:tcBorders>
              <w:top w:val="single" w:sz="4" w:space="0" w:color="auto"/>
              <w:left w:val="single" w:sz="4" w:space="0" w:color="auto"/>
              <w:bottom w:val="single" w:sz="4" w:space="0" w:color="auto"/>
              <w:right w:val="single" w:sz="4" w:space="0" w:color="auto"/>
            </w:tcBorders>
          </w:tcPr>
          <w:p w14:paraId="714FC9D9" w14:textId="77777777" w:rsidR="00D438E8" w:rsidRPr="00871D08" w:rsidRDefault="00D438E8" w:rsidP="00D438E8">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28</w:t>
            </w:r>
          </w:p>
        </w:tc>
        <w:tc>
          <w:tcPr>
            <w:tcW w:w="2069" w:type="pct"/>
            <w:tcBorders>
              <w:top w:val="single" w:sz="4" w:space="0" w:color="auto"/>
              <w:left w:val="single" w:sz="4" w:space="0" w:color="auto"/>
              <w:bottom w:val="single" w:sz="4" w:space="0" w:color="auto"/>
              <w:right w:val="single" w:sz="4" w:space="0" w:color="auto"/>
            </w:tcBorders>
          </w:tcPr>
          <w:p w14:paraId="0C942598" w14:textId="6043588B" w:rsidR="00D438E8" w:rsidRPr="00871D08" w:rsidRDefault="00D438E8" w:rsidP="00D438E8">
            <w:pPr>
              <w:pStyle w:val="Akapitzlist"/>
              <w:numPr>
                <w:ilvl w:val="0"/>
                <w:numId w:val="9"/>
              </w:num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 xml:space="preserve">Funkcjonalność automatycznego (pobranego z systemu HIS </w:t>
            </w:r>
            <w:r w:rsidRPr="00871D08">
              <w:rPr>
                <w:rFonts w:ascii="Times New Roman" w:hAnsi="Times New Roman" w:cs="Times New Roman"/>
                <w:sz w:val="20"/>
                <w:szCs w:val="20"/>
              </w:rPr>
              <w:t>- tak aby personel Zakładu Radiologii mógł wewnętrznie określać dodatkowo priorytety badań bez konieczności ich odsyłania do systemu HIS</w:t>
            </w:r>
            <w:r w:rsidRPr="00871D08">
              <w:rPr>
                <w:rFonts w:ascii="Times New Roman" w:eastAsia="Times New Roman" w:hAnsi="Times New Roman" w:cs="Times New Roman"/>
                <w:sz w:val="20"/>
                <w:szCs w:val="20"/>
                <w:lang w:eastAsia="pl-PL"/>
              </w:rPr>
              <w:t xml:space="preserve">) i ręcznego przypisania priorytetów badania (min. 4-ro stopniowa skala) w zależności od obecnego statusu badania wraz z informacją czy pacjent jest pacjentem DILO </w:t>
            </w:r>
          </w:p>
          <w:p w14:paraId="25002E09" w14:textId="38E9C34C" w:rsidR="00D438E8" w:rsidRPr="00871D08" w:rsidRDefault="00D438E8" w:rsidP="00D438E8">
            <w:pPr>
              <w:pStyle w:val="Akapitzlist"/>
              <w:numPr>
                <w:ilvl w:val="0"/>
                <w:numId w:val="9"/>
              </w:num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automatycznego (pobranego z systemu HIS) przypisania priorytetów badania w skali trzystopniowej</w:t>
            </w:r>
            <w:r w:rsidRPr="00871D08">
              <w:rPr>
                <w:rFonts w:ascii="Times New Roman" w:hAnsi="Times New Roman" w:cs="Times New Roman"/>
                <w:sz w:val="20"/>
                <w:szCs w:val="20"/>
              </w:rPr>
              <w:t xml:space="preserve"> </w:t>
            </w:r>
            <w:r w:rsidRPr="00871D08">
              <w:rPr>
                <w:rFonts w:ascii="Times New Roman" w:eastAsia="Times New Roman" w:hAnsi="Times New Roman" w:cs="Times New Roman"/>
                <w:sz w:val="20"/>
                <w:szCs w:val="20"/>
                <w:lang w:eastAsia="pl-PL"/>
              </w:rPr>
              <w:t xml:space="preserve">wraz z informacją czy pacjent jest pacjentem DILO   </w:t>
            </w:r>
          </w:p>
          <w:p w14:paraId="1CFF9055" w14:textId="34528841" w:rsidR="00D438E8" w:rsidRPr="00871D08" w:rsidRDefault="00D438E8" w:rsidP="00D438E8">
            <w:pPr>
              <w:pStyle w:val="Akapitzlist"/>
              <w:numPr>
                <w:ilvl w:val="0"/>
                <w:numId w:val="9"/>
              </w:numP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 xml:space="preserve">Funkcjonalność automatycznego (pobranego z systemu HIS) przypisania priorytetów badania w skali dwustopniowej </w:t>
            </w:r>
            <w:r w:rsidRPr="00871D08">
              <w:rPr>
                <w:rFonts w:ascii="Times New Roman" w:hAnsi="Times New Roman" w:cs="Times New Roman"/>
                <w:sz w:val="20"/>
                <w:szCs w:val="20"/>
              </w:rPr>
              <w:t xml:space="preserve">wraz z informacją czy pacjent jest pacjentem DILO   </w:t>
            </w:r>
            <w:r w:rsidRPr="00871D08" w:rsidDel="000D78BC">
              <w:rPr>
                <w:rFonts w:ascii="Times New Roman" w:eastAsia="Times New Roman" w:hAnsi="Times New Roman" w:cs="Times New Roman"/>
                <w:sz w:val="20"/>
                <w:szCs w:val="20"/>
                <w:lang w:eastAsia="pl-PL"/>
              </w:rPr>
              <w:t xml:space="preserve"> </w:t>
            </w:r>
          </w:p>
        </w:tc>
        <w:tc>
          <w:tcPr>
            <w:tcW w:w="1315" w:type="pct"/>
            <w:gridSpan w:val="4"/>
            <w:tcBorders>
              <w:top w:val="single" w:sz="4" w:space="0" w:color="auto"/>
              <w:left w:val="single" w:sz="4" w:space="0" w:color="auto"/>
              <w:bottom w:val="single" w:sz="4" w:space="0" w:color="auto"/>
              <w:right w:val="single" w:sz="4" w:space="0" w:color="auto"/>
            </w:tcBorders>
          </w:tcPr>
          <w:p w14:paraId="1350C228" w14:textId="5D420213" w:rsidR="00D438E8" w:rsidRPr="00871D08" w:rsidRDefault="00D438E8" w:rsidP="00D438E8">
            <w:pPr>
              <w:rPr>
                <w:rFonts w:ascii="Times New Roman" w:eastAsia="Times New Roman" w:hAnsi="Times New Roman" w:cs="Times New Roman"/>
                <w:b/>
                <w:bCs/>
                <w:sz w:val="20"/>
                <w:szCs w:val="20"/>
                <w:lang w:eastAsia="pl-PL"/>
              </w:rPr>
            </w:pPr>
            <w:r w:rsidRPr="00871D08">
              <w:rPr>
                <w:rFonts w:ascii="Times New Roman" w:eastAsia="Times New Roman" w:hAnsi="Times New Roman" w:cs="Times New Roman"/>
                <w:b/>
                <w:bCs/>
                <w:sz w:val="20"/>
                <w:szCs w:val="20"/>
                <w:lang w:eastAsia="pl-PL"/>
              </w:rPr>
              <w:t>Funkcjonalność wskazana w pkt 1 – 2 pkt</w:t>
            </w:r>
          </w:p>
          <w:p w14:paraId="1C3531A1" w14:textId="48567249" w:rsidR="00D438E8" w:rsidRPr="00871D08" w:rsidRDefault="00D438E8" w:rsidP="00D438E8">
            <w:pPr>
              <w:autoSpaceDE w:val="0"/>
              <w:autoSpaceDN w:val="0"/>
              <w:adjustRightInd w:val="0"/>
              <w:spacing w:after="0" w:line="240" w:lineRule="auto"/>
              <w:rPr>
                <w:rFonts w:ascii="Times New Roman" w:eastAsia="MS Mincho" w:hAnsi="Times New Roman" w:cs="Times New Roman"/>
                <w:b/>
                <w:bCs/>
                <w:sz w:val="20"/>
                <w:szCs w:val="20"/>
                <w:lang w:eastAsia="ja-JP"/>
              </w:rPr>
            </w:pPr>
            <w:r w:rsidRPr="00871D08">
              <w:rPr>
                <w:rFonts w:ascii="Times New Roman" w:eastAsia="Times New Roman" w:hAnsi="Times New Roman" w:cs="Times New Roman"/>
                <w:b/>
                <w:bCs/>
                <w:sz w:val="20"/>
                <w:szCs w:val="20"/>
                <w:lang w:eastAsia="pl-PL"/>
              </w:rPr>
              <w:t>Funkc</w:t>
            </w:r>
            <w:r w:rsidRPr="00871D08">
              <w:rPr>
                <w:rFonts w:ascii="Times New Roman" w:eastAsia="MS Mincho" w:hAnsi="Times New Roman" w:cs="Times New Roman"/>
                <w:b/>
                <w:bCs/>
                <w:sz w:val="20"/>
                <w:szCs w:val="20"/>
                <w:lang w:eastAsia="ja-JP"/>
              </w:rPr>
              <w:t>jonalność wskazana w pkt 2 - 0 pkt</w:t>
            </w:r>
          </w:p>
          <w:p w14:paraId="3FBDB0B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p>
          <w:p w14:paraId="2D16B4EB" w14:textId="594135A2" w:rsidR="00D438E8" w:rsidRPr="00871D08" w:rsidRDefault="00D438E8" w:rsidP="00D438E8">
            <w:pPr>
              <w:autoSpaceDE w:val="0"/>
              <w:autoSpaceDN w:val="0"/>
              <w:adjustRightInd w:val="0"/>
              <w:spacing w:after="0" w:line="240" w:lineRule="auto"/>
              <w:rPr>
                <w:rFonts w:ascii="Times New Roman" w:eastAsia="MS Mincho" w:hAnsi="Times New Roman" w:cs="Times New Roman"/>
                <w:b/>
                <w:bCs/>
                <w:sz w:val="20"/>
                <w:szCs w:val="20"/>
                <w:lang w:eastAsia="ja-JP"/>
              </w:rPr>
            </w:pPr>
            <w:r w:rsidRPr="00871D08">
              <w:rPr>
                <w:rFonts w:ascii="Times New Roman" w:eastAsia="MS Mincho" w:hAnsi="Times New Roman" w:cs="Times New Roman"/>
                <w:b/>
                <w:bCs/>
                <w:sz w:val="20"/>
                <w:szCs w:val="20"/>
                <w:lang w:eastAsia="ja-JP"/>
              </w:rPr>
              <w:t>Funkcjonalność wskazana w pkt 3 - 0 pkt</w:t>
            </w:r>
          </w:p>
          <w:p w14:paraId="6B309A3E"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p>
        </w:tc>
        <w:tc>
          <w:tcPr>
            <w:tcW w:w="1006" w:type="pct"/>
            <w:gridSpan w:val="2"/>
            <w:tcBorders>
              <w:top w:val="single" w:sz="4" w:space="0" w:color="auto"/>
              <w:left w:val="single" w:sz="4" w:space="0" w:color="auto"/>
              <w:bottom w:val="single" w:sz="4" w:space="0" w:color="auto"/>
              <w:right w:val="single" w:sz="4" w:space="0" w:color="auto"/>
            </w:tcBorders>
          </w:tcPr>
          <w:p w14:paraId="68B1B535" w14:textId="417AFA51"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Podać numer zaoferowanej funkcjonalności ………</w:t>
            </w:r>
          </w:p>
          <w:p w14:paraId="7E7CE61D" w14:textId="77777777" w:rsidR="00D438E8" w:rsidRPr="00871D08" w:rsidRDefault="00D438E8" w:rsidP="00D438E8">
            <w:pPr>
              <w:rPr>
                <w:rFonts w:ascii="Times New Roman" w:eastAsia="MS Mincho" w:hAnsi="Times New Roman" w:cs="Times New Roman"/>
                <w:sz w:val="20"/>
                <w:szCs w:val="20"/>
                <w:lang w:eastAsia="ja-JP"/>
              </w:rPr>
            </w:pPr>
          </w:p>
          <w:p w14:paraId="21176CFF" w14:textId="77777777" w:rsidR="00D438E8" w:rsidRPr="00871D08" w:rsidRDefault="00D438E8" w:rsidP="00D438E8">
            <w:pPr>
              <w:rPr>
                <w:rFonts w:ascii="Times New Roman" w:eastAsia="MS Mincho" w:hAnsi="Times New Roman" w:cs="Times New Roman"/>
                <w:b/>
                <w:bCs/>
                <w:sz w:val="20"/>
                <w:szCs w:val="20"/>
                <w:lang w:eastAsia="ja-JP"/>
              </w:rPr>
            </w:pPr>
          </w:p>
          <w:p w14:paraId="6F78E439" w14:textId="1894D761" w:rsidR="00D438E8" w:rsidRPr="00871D08" w:rsidRDefault="00D438E8" w:rsidP="00D438E8">
            <w:pPr>
              <w:rPr>
                <w:rFonts w:ascii="Times New Roman" w:eastAsia="MS Mincho" w:hAnsi="Times New Roman" w:cs="Times New Roman"/>
                <w:sz w:val="20"/>
                <w:szCs w:val="20"/>
                <w:lang w:eastAsia="ja-JP"/>
              </w:rPr>
            </w:pPr>
          </w:p>
        </w:tc>
      </w:tr>
      <w:tr w:rsidR="00871D08" w:rsidRPr="00871D08" w14:paraId="180B755C" w14:textId="0BD85639" w:rsidTr="006D4696">
        <w:tc>
          <w:tcPr>
            <w:tcW w:w="610" w:type="pct"/>
            <w:tcBorders>
              <w:top w:val="single" w:sz="4" w:space="0" w:color="auto"/>
              <w:left w:val="single" w:sz="4" w:space="0" w:color="auto"/>
              <w:bottom w:val="single" w:sz="4" w:space="0" w:color="auto"/>
              <w:right w:val="single" w:sz="4" w:space="0" w:color="auto"/>
            </w:tcBorders>
          </w:tcPr>
          <w:p w14:paraId="283BA4B6" w14:textId="77777777" w:rsidR="00D438E8" w:rsidRPr="00871D08" w:rsidRDefault="00D438E8" w:rsidP="00D438E8">
            <w:pPr>
              <w:autoSpaceDE w:val="0"/>
              <w:autoSpaceDN w:val="0"/>
              <w:adjustRightInd w:val="0"/>
              <w:spacing w:line="254"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29</w:t>
            </w:r>
          </w:p>
        </w:tc>
        <w:tc>
          <w:tcPr>
            <w:tcW w:w="2069" w:type="pct"/>
            <w:tcBorders>
              <w:top w:val="single" w:sz="4" w:space="0" w:color="auto"/>
              <w:left w:val="single" w:sz="4" w:space="0" w:color="auto"/>
              <w:bottom w:val="single" w:sz="4" w:space="0" w:color="auto"/>
              <w:right w:val="single" w:sz="4" w:space="0" w:color="auto"/>
            </w:tcBorders>
          </w:tcPr>
          <w:p w14:paraId="132AA9EB" w14:textId="4E59906E" w:rsidR="00D438E8" w:rsidRPr="00871D08" w:rsidRDefault="00D438E8" w:rsidP="00D438E8">
            <w:pPr>
              <w:autoSpaceDE w:val="0"/>
              <w:autoSpaceDN w:val="0"/>
              <w:adjustRightInd w:val="0"/>
              <w:spacing w:line="254"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automatycznej eskalacji badania w zależności od długości trwania jego statusu, poprzez podniesienie jego priorytetu. (np. po trzech godzinach oczekiwania na opis, priorytet badania zostaje automatycznie zmieniony na wyższy).</w:t>
            </w:r>
          </w:p>
        </w:tc>
        <w:tc>
          <w:tcPr>
            <w:tcW w:w="1315" w:type="pct"/>
            <w:gridSpan w:val="4"/>
            <w:tcBorders>
              <w:top w:val="single" w:sz="4" w:space="0" w:color="auto"/>
              <w:left w:val="single" w:sz="4" w:space="0" w:color="auto"/>
              <w:bottom w:val="single" w:sz="4" w:space="0" w:color="auto"/>
              <w:right w:val="single" w:sz="4" w:space="0" w:color="auto"/>
            </w:tcBorders>
          </w:tcPr>
          <w:p w14:paraId="66C56101"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3D274BE4"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27972C37"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6D881145" w14:textId="77777777" w:rsidR="00D438E8" w:rsidRPr="00871D08" w:rsidRDefault="00D438E8" w:rsidP="00D438E8">
            <w:pPr>
              <w:autoSpaceDE w:val="0"/>
              <w:autoSpaceDN w:val="0"/>
              <w:adjustRightInd w:val="0"/>
              <w:spacing w:after="0" w:line="240" w:lineRule="auto"/>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right w:val="single" w:sz="4" w:space="0" w:color="auto"/>
            </w:tcBorders>
          </w:tcPr>
          <w:p w14:paraId="05707166" w14:textId="53E72531"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616FCA2F" w14:textId="45BAFB5E" w:rsidTr="006D4696">
        <w:tc>
          <w:tcPr>
            <w:tcW w:w="610" w:type="pct"/>
            <w:tcBorders>
              <w:top w:val="single" w:sz="4" w:space="0" w:color="auto"/>
              <w:bottom w:val="single" w:sz="4" w:space="0" w:color="auto"/>
              <w:right w:val="single" w:sz="4" w:space="0" w:color="auto"/>
            </w:tcBorders>
          </w:tcPr>
          <w:p w14:paraId="600BA399"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30</w:t>
            </w:r>
          </w:p>
        </w:tc>
        <w:tc>
          <w:tcPr>
            <w:tcW w:w="2069" w:type="pct"/>
            <w:tcBorders>
              <w:top w:val="single" w:sz="4" w:space="0" w:color="auto"/>
              <w:left w:val="single" w:sz="4" w:space="0" w:color="auto"/>
              <w:bottom w:val="single" w:sz="4" w:space="0" w:color="auto"/>
              <w:right w:val="single" w:sz="4" w:space="0" w:color="auto"/>
            </w:tcBorders>
          </w:tcPr>
          <w:p w14:paraId="39901281"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automatycznej eskalacji badania w zależności od długości trwania jego statusu, poprzez dodanie go do dynamicznej listy badań innego użytkownika lub grupy użytkowników (np. jeśli badanie nie zostało opisane w ciągu 30 dni, zostaje automatycznie przypisane do kolejnego radiologa lub grupy radiologów).</w:t>
            </w:r>
          </w:p>
        </w:tc>
        <w:tc>
          <w:tcPr>
            <w:tcW w:w="1315" w:type="pct"/>
            <w:gridSpan w:val="4"/>
            <w:tcBorders>
              <w:top w:val="single" w:sz="4" w:space="0" w:color="auto"/>
              <w:left w:val="single" w:sz="4" w:space="0" w:color="auto"/>
              <w:bottom w:val="single" w:sz="4" w:space="0" w:color="auto"/>
            </w:tcBorders>
          </w:tcPr>
          <w:p w14:paraId="6722A43F"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3703E65F"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2BA98A0D"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2221EFC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0AF7D9EB"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314A3086" w14:textId="1FD1E890"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472D4A8E" w14:textId="77777777" w:rsidTr="006D4696">
        <w:tc>
          <w:tcPr>
            <w:tcW w:w="610" w:type="pct"/>
            <w:tcBorders>
              <w:top w:val="single" w:sz="4" w:space="0" w:color="auto"/>
              <w:bottom w:val="single" w:sz="4" w:space="0" w:color="auto"/>
              <w:right w:val="single" w:sz="4" w:space="0" w:color="auto"/>
            </w:tcBorders>
          </w:tcPr>
          <w:p w14:paraId="53B45DE0" w14:textId="5C4D8C86"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35</w:t>
            </w:r>
          </w:p>
        </w:tc>
        <w:tc>
          <w:tcPr>
            <w:tcW w:w="2069" w:type="pct"/>
            <w:tcBorders>
              <w:top w:val="single" w:sz="4" w:space="0" w:color="auto"/>
              <w:left w:val="single" w:sz="4" w:space="0" w:color="auto"/>
              <w:bottom w:val="single" w:sz="4" w:space="0" w:color="auto"/>
              <w:right w:val="single" w:sz="4" w:space="0" w:color="auto"/>
            </w:tcBorders>
          </w:tcPr>
          <w:p w14:paraId="498246A5" w14:textId="02E45D9A"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dołączenia do badania plików graficznych/video jako nowej serii badania.</w:t>
            </w:r>
          </w:p>
        </w:tc>
        <w:tc>
          <w:tcPr>
            <w:tcW w:w="1315" w:type="pct"/>
            <w:gridSpan w:val="4"/>
            <w:tcBorders>
              <w:top w:val="single" w:sz="4" w:space="0" w:color="auto"/>
              <w:left w:val="single" w:sz="4" w:space="0" w:color="auto"/>
              <w:bottom w:val="single" w:sz="4" w:space="0" w:color="auto"/>
            </w:tcBorders>
          </w:tcPr>
          <w:p w14:paraId="087CDB04" w14:textId="08ECEC8C"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38EAD363" w14:textId="7E1F230B"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25DD13D7" w14:textId="687F80AC"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69F194E3" w14:textId="25E1C91F"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2D4EE829" w14:textId="2CA55721"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07F9CB6E" w14:textId="77777777" w:rsidTr="006D4696">
        <w:tc>
          <w:tcPr>
            <w:tcW w:w="610" w:type="pct"/>
            <w:tcBorders>
              <w:top w:val="single" w:sz="4" w:space="0" w:color="auto"/>
              <w:bottom w:val="single" w:sz="4" w:space="0" w:color="auto"/>
              <w:right w:val="single" w:sz="4" w:space="0" w:color="auto"/>
            </w:tcBorders>
          </w:tcPr>
          <w:p w14:paraId="01964578" w14:textId="2E5AD5F4"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52</w:t>
            </w:r>
          </w:p>
        </w:tc>
        <w:tc>
          <w:tcPr>
            <w:tcW w:w="2069" w:type="pct"/>
            <w:tcBorders>
              <w:top w:val="single" w:sz="4" w:space="0" w:color="auto"/>
              <w:left w:val="single" w:sz="4" w:space="0" w:color="auto"/>
              <w:bottom w:val="single" w:sz="4" w:space="0" w:color="auto"/>
              <w:right w:val="single" w:sz="4" w:space="0" w:color="auto"/>
            </w:tcBorders>
          </w:tcPr>
          <w:p w14:paraId="7CF3AF95" w14:textId="6DCEBF1D"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automatycznego otwarcia kolejnego badania z dynamicznej listy po zakończeniu opisu poprzedniego badania.</w:t>
            </w:r>
          </w:p>
        </w:tc>
        <w:tc>
          <w:tcPr>
            <w:tcW w:w="1315" w:type="pct"/>
            <w:gridSpan w:val="4"/>
            <w:tcBorders>
              <w:top w:val="single" w:sz="4" w:space="0" w:color="auto"/>
              <w:left w:val="single" w:sz="4" w:space="0" w:color="auto"/>
              <w:bottom w:val="single" w:sz="4" w:space="0" w:color="auto"/>
            </w:tcBorders>
          </w:tcPr>
          <w:p w14:paraId="2F86B4B2"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5DCEDF90"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2BA3E0A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48EEB099" w14:textId="64637B6A"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22EB4804" w14:textId="77777777" w:rsidTr="006D4696">
        <w:tc>
          <w:tcPr>
            <w:tcW w:w="610" w:type="pct"/>
            <w:tcBorders>
              <w:top w:val="single" w:sz="4" w:space="0" w:color="auto"/>
              <w:bottom w:val="single" w:sz="4" w:space="0" w:color="auto"/>
              <w:right w:val="single" w:sz="4" w:space="0" w:color="auto"/>
            </w:tcBorders>
          </w:tcPr>
          <w:p w14:paraId="06E4BDE4" w14:textId="58E50F59"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hAnsi="Times New Roman" w:cs="Times New Roman"/>
                <w:sz w:val="20"/>
                <w:szCs w:val="20"/>
              </w:rPr>
              <w:t>Pkt 61</w:t>
            </w:r>
          </w:p>
        </w:tc>
        <w:tc>
          <w:tcPr>
            <w:tcW w:w="2069" w:type="pct"/>
            <w:tcBorders>
              <w:top w:val="single" w:sz="4" w:space="0" w:color="auto"/>
              <w:left w:val="single" w:sz="4" w:space="0" w:color="auto"/>
              <w:bottom w:val="single" w:sz="4" w:space="0" w:color="auto"/>
              <w:right w:val="single" w:sz="4" w:space="0" w:color="auto"/>
            </w:tcBorders>
          </w:tcPr>
          <w:p w14:paraId="1055844F" w14:textId="668A9F46"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hAnsi="Times New Roman" w:cs="Times New Roman"/>
                <w:sz w:val="20"/>
                <w:szCs w:val="20"/>
              </w:rPr>
              <w:t>Mechanizm automatycznego otwierania kolejnego badania spełniającego kryteria zadeklarowanego makra/filtru wyszukiwania bez konieczności zamykania ostatniego otwartego badania.</w:t>
            </w:r>
          </w:p>
        </w:tc>
        <w:tc>
          <w:tcPr>
            <w:tcW w:w="1315" w:type="pct"/>
            <w:gridSpan w:val="4"/>
            <w:tcBorders>
              <w:top w:val="single" w:sz="4" w:space="0" w:color="auto"/>
              <w:left w:val="single" w:sz="4" w:space="0" w:color="auto"/>
              <w:bottom w:val="single" w:sz="4" w:space="0" w:color="auto"/>
            </w:tcBorders>
          </w:tcPr>
          <w:p w14:paraId="58F18568"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hAnsi="Times New Roman" w:cs="Times New Roman"/>
                <w:sz w:val="20"/>
                <w:szCs w:val="20"/>
              </w:rPr>
              <w:t>Tak – 2 pkt</w:t>
            </w:r>
            <w:r w:rsidRPr="00871D08">
              <w:rPr>
                <w:rFonts w:ascii="Times New Roman" w:eastAsia="MS Mincho" w:hAnsi="Times New Roman" w:cs="Times New Roman"/>
                <w:sz w:val="20"/>
                <w:szCs w:val="20"/>
                <w:lang w:eastAsia="ja-JP"/>
              </w:rPr>
              <w:t xml:space="preserve"> </w:t>
            </w:r>
          </w:p>
          <w:p w14:paraId="1EB6C368" w14:textId="15EA4F51"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3BC1922E" w14:textId="64733622"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0C11D37E" w14:textId="61ED7FFA"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871D08">
              <w:rPr>
                <w:rFonts w:ascii="Times New Roman" w:hAnsi="Times New Roman" w:cs="Times New Roman"/>
                <w:sz w:val="20"/>
                <w:szCs w:val="20"/>
              </w:rPr>
              <w:t>TAK/NIE*</w:t>
            </w:r>
          </w:p>
        </w:tc>
      </w:tr>
      <w:tr w:rsidR="00871D08" w:rsidRPr="00871D08" w14:paraId="152B7F4C" w14:textId="77777777" w:rsidTr="006D4696">
        <w:tc>
          <w:tcPr>
            <w:tcW w:w="610" w:type="pct"/>
            <w:tcBorders>
              <w:top w:val="single" w:sz="4" w:space="0" w:color="auto"/>
              <w:bottom w:val="single" w:sz="4" w:space="0" w:color="auto"/>
              <w:right w:val="single" w:sz="4" w:space="0" w:color="auto"/>
            </w:tcBorders>
          </w:tcPr>
          <w:p w14:paraId="022CF23E"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66</w:t>
            </w:r>
          </w:p>
        </w:tc>
        <w:tc>
          <w:tcPr>
            <w:tcW w:w="2069" w:type="pct"/>
            <w:tcBorders>
              <w:top w:val="single" w:sz="4" w:space="0" w:color="auto"/>
              <w:left w:val="single" w:sz="4" w:space="0" w:color="auto"/>
              <w:bottom w:val="single" w:sz="4" w:space="0" w:color="auto"/>
              <w:right w:val="single" w:sz="4" w:space="0" w:color="auto"/>
            </w:tcBorders>
          </w:tcPr>
          <w:p w14:paraId="1155E993"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Funkcja automatycznego dodawania do treści opisu (w miejscu kursora) wyniku pomiaru wykonanego na obrazie</w:t>
            </w:r>
          </w:p>
        </w:tc>
        <w:tc>
          <w:tcPr>
            <w:tcW w:w="1315" w:type="pct"/>
            <w:gridSpan w:val="4"/>
            <w:tcBorders>
              <w:top w:val="single" w:sz="4" w:space="0" w:color="auto"/>
              <w:left w:val="single" w:sz="4" w:space="0" w:color="auto"/>
              <w:bottom w:val="single" w:sz="4" w:space="0" w:color="auto"/>
            </w:tcBorders>
          </w:tcPr>
          <w:p w14:paraId="27EE76F6"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02567B96"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p w14:paraId="4ACFD028"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1006" w:type="pct"/>
            <w:gridSpan w:val="2"/>
            <w:tcBorders>
              <w:top w:val="single" w:sz="4" w:space="0" w:color="auto"/>
              <w:left w:val="single" w:sz="4" w:space="0" w:color="auto"/>
              <w:bottom w:val="single" w:sz="4" w:space="0" w:color="auto"/>
              <w:right w:val="single" w:sz="4" w:space="0" w:color="auto"/>
            </w:tcBorders>
          </w:tcPr>
          <w:p w14:paraId="21715DE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229719E9" w14:textId="77777777" w:rsidTr="00D438E8">
        <w:trPr>
          <w:gridAfter w:val="1"/>
          <w:wAfter w:w="13" w:type="pct"/>
        </w:trPr>
        <w:tc>
          <w:tcPr>
            <w:tcW w:w="610" w:type="pct"/>
            <w:tcBorders>
              <w:top w:val="single" w:sz="4" w:space="0" w:color="auto"/>
              <w:bottom w:val="single" w:sz="4" w:space="0" w:color="auto"/>
              <w:right w:val="single" w:sz="4" w:space="0" w:color="auto"/>
            </w:tcBorders>
          </w:tcPr>
          <w:p w14:paraId="01F09D82"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lastRenderedPageBreak/>
              <w:t>Pkt 97</w:t>
            </w:r>
          </w:p>
        </w:tc>
        <w:tc>
          <w:tcPr>
            <w:tcW w:w="2075" w:type="pct"/>
            <w:gridSpan w:val="2"/>
            <w:tcBorders>
              <w:top w:val="single" w:sz="4" w:space="0" w:color="auto"/>
              <w:left w:val="single" w:sz="4" w:space="0" w:color="auto"/>
              <w:bottom w:val="single" w:sz="4" w:space="0" w:color="auto"/>
              <w:right w:val="single" w:sz="4" w:space="0" w:color="auto"/>
            </w:tcBorders>
          </w:tcPr>
          <w:p w14:paraId="06D723DA"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kąta stawu skokowego HKA. </w:t>
            </w:r>
          </w:p>
          <w:p w14:paraId="06870857"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pojemności komory serca. </w:t>
            </w:r>
          </w:p>
          <w:p w14:paraId="0557A72C"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przegrody międzykomorowej (IVS), jamy lewej komory (LVID), ściany tylnej lewej komory (LVPW). </w:t>
            </w:r>
          </w:p>
          <w:p w14:paraId="0EB508B3"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czasu spadku ciśnienia do połowy (PHT). </w:t>
            </w:r>
          </w:p>
          <w:p w14:paraId="521B7310"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całki prędkości przepływu w czasie (VTI ). </w:t>
            </w:r>
          </w:p>
          <w:p w14:paraId="021A18AD"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odległości w badaniach jednowymiarowych (M-mode). </w:t>
            </w:r>
          </w:p>
          <w:p w14:paraId="3E315733"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czasu w badaniach jednowymiarowych (M-mode) i dopplerowskich. </w:t>
            </w:r>
          </w:p>
          <w:p w14:paraId="0F9FCFA6"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Funkcja pomiaru prędkości w badaniach dopplerowskich.</w:t>
            </w:r>
          </w:p>
          <w:p w14:paraId="05EB1BC5" w14:textId="339B9DF9" w:rsidR="00D438E8" w:rsidRPr="00871D08" w:rsidRDefault="00D438E8" w:rsidP="00D438E8">
            <w:pPr>
              <w:autoSpaceDE w:val="0"/>
              <w:autoSpaceDN w:val="0"/>
              <w:adjustRightInd w:val="0"/>
              <w:spacing w:after="0" w:line="240" w:lineRule="auto"/>
              <w:ind w:left="360"/>
              <w:rPr>
                <w:rFonts w:ascii="Times New Roman" w:hAnsi="Times New Roman" w:cs="Times New Roman"/>
                <w:sz w:val="20"/>
                <w:szCs w:val="20"/>
              </w:rPr>
            </w:pPr>
          </w:p>
        </w:tc>
        <w:tc>
          <w:tcPr>
            <w:tcW w:w="1309" w:type="pct"/>
            <w:gridSpan w:val="3"/>
            <w:tcBorders>
              <w:top w:val="single" w:sz="4" w:space="0" w:color="auto"/>
              <w:left w:val="single" w:sz="4" w:space="0" w:color="auto"/>
              <w:bottom w:val="single" w:sz="4" w:space="0" w:color="auto"/>
            </w:tcBorders>
          </w:tcPr>
          <w:p w14:paraId="1BE830F3" w14:textId="3D4E6505"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Brak funkcji - 0 pkt</w:t>
            </w:r>
          </w:p>
          <w:p w14:paraId="2F22B09E"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 xml:space="preserve">Każda zaoferowana przez Wykonawcę funkcja 0,5 pkt </w:t>
            </w:r>
          </w:p>
          <w:p w14:paraId="35AA8B5B"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993" w:type="pct"/>
            <w:tcBorders>
              <w:top w:val="single" w:sz="4" w:space="0" w:color="auto"/>
              <w:left w:val="single" w:sz="4" w:space="0" w:color="auto"/>
              <w:bottom w:val="single" w:sz="4" w:space="0" w:color="auto"/>
              <w:right w:val="single" w:sz="4" w:space="0" w:color="auto"/>
            </w:tcBorders>
          </w:tcPr>
          <w:p w14:paraId="368C05CF" w14:textId="420FEF59"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Podać numery zaoferowanych funkcjonalności ………</w:t>
            </w:r>
          </w:p>
          <w:p w14:paraId="6AB0FAEC" w14:textId="3F9D10C3"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r>
      <w:tr w:rsidR="00871D08" w:rsidRPr="00871D08" w14:paraId="0C94308B" w14:textId="77777777" w:rsidTr="006D4696">
        <w:tc>
          <w:tcPr>
            <w:tcW w:w="610" w:type="pct"/>
            <w:tcBorders>
              <w:top w:val="single" w:sz="4" w:space="0" w:color="auto"/>
              <w:bottom w:val="single" w:sz="4" w:space="0" w:color="auto"/>
              <w:right w:val="single" w:sz="4" w:space="0" w:color="auto"/>
            </w:tcBorders>
          </w:tcPr>
          <w:p w14:paraId="6C1FC474"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97</w:t>
            </w:r>
          </w:p>
        </w:tc>
        <w:tc>
          <w:tcPr>
            <w:tcW w:w="2069" w:type="pct"/>
            <w:tcBorders>
              <w:top w:val="single" w:sz="4" w:space="0" w:color="auto"/>
              <w:left w:val="single" w:sz="4" w:space="0" w:color="auto"/>
              <w:bottom w:val="single" w:sz="4" w:space="0" w:color="auto"/>
              <w:right w:val="single" w:sz="4" w:space="0" w:color="auto"/>
            </w:tcBorders>
          </w:tcPr>
          <w:p w14:paraId="19C08FAD" w14:textId="7AAD543F"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Funkcja fuzji dwóch zarejestrowanych serii badań. Możliwość regulacji blendy pomiędzy wyświetlanymi seriami</w:t>
            </w:r>
          </w:p>
        </w:tc>
        <w:tc>
          <w:tcPr>
            <w:tcW w:w="1315" w:type="pct"/>
            <w:gridSpan w:val="4"/>
            <w:tcBorders>
              <w:top w:val="single" w:sz="4" w:space="0" w:color="auto"/>
              <w:left w:val="single" w:sz="4" w:space="0" w:color="auto"/>
              <w:bottom w:val="single" w:sz="4" w:space="0" w:color="auto"/>
            </w:tcBorders>
          </w:tcPr>
          <w:p w14:paraId="0B54AB4E"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1 pkt</w:t>
            </w:r>
          </w:p>
          <w:p w14:paraId="4A3C7F71"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p w14:paraId="0DF1DD0F"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1006" w:type="pct"/>
            <w:gridSpan w:val="2"/>
            <w:tcBorders>
              <w:top w:val="single" w:sz="4" w:space="0" w:color="auto"/>
              <w:left w:val="single" w:sz="4" w:space="0" w:color="auto"/>
              <w:bottom w:val="single" w:sz="4" w:space="0" w:color="auto"/>
              <w:right w:val="single" w:sz="4" w:space="0" w:color="auto"/>
            </w:tcBorders>
          </w:tcPr>
          <w:p w14:paraId="12BA351C"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3719BCE0" w14:textId="77777777" w:rsidTr="006D4696">
        <w:tc>
          <w:tcPr>
            <w:tcW w:w="610" w:type="pct"/>
            <w:tcBorders>
              <w:top w:val="single" w:sz="4" w:space="0" w:color="auto"/>
              <w:bottom w:val="single" w:sz="4" w:space="0" w:color="auto"/>
              <w:right w:val="single" w:sz="4" w:space="0" w:color="auto"/>
            </w:tcBorders>
          </w:tcPr>
          <w:p w14:paraId="06D80CC8"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98</w:t>
            </w:r>
          </w:p>
        </w:tc>
        <w:tc>
          <w:tcPr>
            <w:tcW w:w="2069" w:type="pct"/>
            <w:tcBorders>
              <w:top w:val="single" w:sz="4" w:space="0" w:color="auto"/>
              <w:left w:val="single" w:sz="4" w:space="0" w:color="auto"/>
              <w:bottom w:val="single" w:sz="4" w:space="0" w:color="auto"/>
              <w:right w:val="single" w:sz="4" w:space="0" w:color="auto"/>
            </w:tcBorders>
          </w:tcPr>
          <w:p w14:paraId="296F079C"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Funkcjonalność automatycznej i ręcznej rejestracji ze sobą serii do jednego układu współrzędnych. Synchronizacja nawigacji w obrębie zarejestrowanych serii</w:t>
            </w:r>
          </w:p>
        </w:tc>
        <w:tc>
          <w:tcPr>
            <w:tcW w:w="1315" w:type="pct"/>
            <w:gridSpan w:val="4"/>
            <w:tcBorders>
              <w:top w:val="single" w:sz="4" w:space="0" w:color="auto"/>
              <w:left w:val="single" w:sz="4" w:space="0" w:color="auto"/>
              <w:bottom w:val="single" w:sz="4" w:space="0" w:color="auto"/>
            </w:tcBorders>
          </w:tcPr>
          <w:p w14:paraId="2383B2EE"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0E742456"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18A2C2D9"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6A4991B3" w14:textId="77777777" w:rsidTr="006D4696">
        <w:tc>
          <w:tcPr>
            <w:tcW w:w="610" w:type="pct"/>
            <w:tcBorders>
              <w:top w:val="single" w:sz="4" w:space="0" w:color="auto"/>
              <w:bottom w:val="single" w:sz="4" w:space="0" w:color="auto"/>
              <w:right w:val="single" w:sz="4" w:space="0" w:color="auto"/>
            </w:tcBorders>
          </w:tcPr>
          <w:p w14:paraId="772B2721"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101</w:t>
            </w:r>
          </w:p>
        </w:tc>
        <w:tc>
          <w:tcPr>
            <w:tcW w:w="2069" w:type="pct"/>
            <w:tcBorders>
              <w:top w:val="single" w:sz="4" w:space="0" w:color="auto"/>
              <w:left w:val="single" w:sz="4" w:space="0" w:color="auto"/>
              <w:bottom w:val="single" w:sz="4" w:space="0" w:color="auto"/>
              <w:right w:val="single" w:sz="4" w:space="0" w:color="auto"/>
            </w:tcBorders>
          </w:tcPr>
          <w:p w14:paraId="4D891E50"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CPR na podstawie krzywej w widokach: projected CPR, straightened CPR, stretched CPR</w:t>
            </w:r>
          </w:p>
        </w:tc>
        <w:tc>
          <w:tcPr>
            <w:tcW w:w="1315" w:type="pct"/>
            <w:gridSpan w:val="4"/>
            <w:tcBorders>
              <w:top w:val="single" w:sz="4" w:space="0" w:color="auto"/>
              <w:left w:val="single" w:sz="4" w:space="0" w:color="auto"/>
              <w:bottom w:val="single" w:sz="4" w:space="0" w:color="auto"/>
            </w:tcBorders>
          </w:tcPr>
          <w:p w14:paraId="205CD0AF"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23BE997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p w14:paraId="62119C61"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1006" w:type="pct"/>
            <w:gridSpan w:val="2"/>
            <w:tcBorders>
              <w:top w:val="single" w:sz="4" w:space="0" w:color="auto"/>
              <w:left w:val="single" w:sz="4" w:space="0" w:color="auto"/>
              <w:bottom w:val="single" w:sz="4" w:space="0" w:color="auto"/>
              <w:right w:val="single" w:sz="4" w:space="0" w:color="auto"/>
            </w:tcBorders>
          </w:tcPr>
          <w:p w14:paraId="58A919A4"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313BA612" w14:textId="77777777" w:rsidTr="006D4696">
        <w:tc>
          <w:tcPr>
            <w:tcW w:w="610" w:type="pct"/>
            <w:tcBorders>
              <w:top w:val="single" w:sz="4" w:space="0" w:color="auto"/>
              <w:bottom w:val="single" w:sz="4" w:space="0" w:color="auto"/>
              <w:right w:val="single" w:sz="4" w:space="0" w:color="auto"/>
            </w:tcBorders>
          </w:tcPr>
          <w:p w14:paraId="0908BA8D"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102</w:t>
            </w:r>
          </w:p>
        </w:tc>
        <w:tc>
          <w:tcPr>
            <w:tcW w:w="2069" w:type="pct"/>
            <w:tcBorders>
              <w:top w:val="single" w:sz="4" w:space="0" w:color="auto"/>
              <w:left w:val="single" w:sz="4" w:space="0" w:color="auto"/>
              <w:bottom w:val="single" w:sz="4" w:space="0" w:color="auto"/>
              <w:right w:val="single" w:sz="4" w:space="0" w:color="auto"/>
            </w:tcBorders>
          </w:tcPr>
          <w:p w14:paraId="31007AA9" w14:textId="431A2612"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Funkcja regulacji grubości warstwy w projekcjach  MIP</w:t>
            </w:r>
          </w:p>
          <w:p w14:paraId="2EE95744" w14:textId="476A0B32"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p>
        </w:tc>
        <w:tc>
          <w:tcPr>
            <w:tcW w:w="1315" w:type="pct"/>
            <w:gridSpan w:val="4"/>
            <w:tcBorders>
              <w:top w:val="single" w:sz="4" w:space="0" w:color="auto"/>
              <w:left w:val="single" w:sz="4" w:space="0" w:color="auto"/>
              <w:bottom w:val="single" w:sz="4" w:space="0" w:color="auto"/>
            </w:tcBorders>
          </w:tcPr>
          <w:p w14:paraId="48C58D57" w14:textId="39065E2B"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7B188B5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6E67DA2D" w14:textId="1B52144F"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p w14:paraId="77A5DDD2" w14:textId="2129DFB1"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6C38750A" w14:textId="77777777" w:rsidTr="006D4696">
        <w:tc>
          <w:tcPr>
            <w:tcW w:w="610" w:type="pct"/>
            <w:tcBorders>
              <w:top w:val="single" w:sz="4" w:space="0" w:color="auto"/>
              <w:bottom w:val="single" w:sz="4" w:space="0" w:color="auto"/>
              <w:right w:val="single" w:sz="4" w:space="0" w:color="auto"/>
            </w:tcBorders>
          </w:tcPr>
          <w:p w14:paraId="45F2FAB1"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103</w:t>
            </w:r>
          </w:p>
        </w:tc>
        <w:tc>
          <w:tcPr>
            <w:tcW w:w="2069" w:type="pct"/>
            <w:tcBorders>
              <w:top w:val="single" w:sz="4" w:space="0" w:color="auto"/>
              <w:left w:val="single" w:sz="4" w:space="0" w:color="auto"/>
              <w:bottom w:val="single" w:sz="4" w:space="0" w:color="auto"/>
              <w:right w:val="single" w:sz="4" w:space="0" w:color="auto"/>
            </w:tcBorders>
          </w:tcPr>
          <w:p w14:paraId="158832BE"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Narzędzie oznaczania kręgów, oznaczenia kolejnych kręgów na obrazie badania wyświetlane są w rzutach MIP/MPR</w:t>
            </w:r>
          </w:p>
        </w:tc>
        <w:tc>
          <w:tcPr>
            <w:tcW w:w="1315" w:type="pct"/>
            <w:gridSpan w:val="4"/>
            <w:tcBorders>
              <w:top w:val="single" w:sz="4" w:space="0" w:color="auto"/>
              <w:left w:val="single" w:sz="4" w:space="0" w:color="auto"/>
              <w:bottom w:val="single" w:sz="4" w:space="0" w:color="auto"/>
            </w:tcBorders>
          </w:tcPr>
          <w:p w14:paraId="250F5FB8"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59D7CE4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4710D7ED"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61818EFA" w14:textId="77777777" w:rsidTr="006D4696">
        <w:tc>
          <w:tcPr>
            <w:tcW w:w="610" w:type="pct"/>
            <w:tcBorders>
              <w:top w:val="single" w:sz="4" w:space="0" w:color="auto"/>
              <w:bottom w:val="single" w:sz="4" w:space="0" w:color="auto"/>
              <w:right w:val="single" w:sz="4" w:space="0" w:color="auto"/>
            </w:tcBorders>
          </w:tcPr>
          <w:p w14:paraId="04372F27"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111</w:t>
            </w:r>
          </w:p>
        </w:tc>
        <w:tc>
          <w:tcPr>
            <w:tcW w:w="2069" w:type="pct"/>
            <w:tcBorders>
              <w:top w:val="single" w:sz="4" w:space="0" w:color="auto"/>
              <w:left w:val="single" w:sz="4" w:space="0" w:color="auto"/>
              <w:bottom w:val="single" w:sz="4" w:space="0" w:color="auto"/>
              <w:right w:val="single" w:sz="4" w:space="0" w:color="auto"/>
            </w:tcBorders>
          </w:tcPr>
          <w:p w14:paraId="54188D7C"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automatyzowane przeglądanie obrazów w skali 1:1 na podstawie automatycznie określonych regionów. </w:t>
            </w:r>
          </w:p>
        </w:tc>
        <w:tc>
          <w:tcPr>
            <w:tcW w:w="1315" w:type="pct"/>
            <w:gridSpan w:val="4"/>
            <w:tcBorders>
              <w:top w:val="single" w:sz="4" w:space="0" w:color="auto"/>
              <w:left w:val="single" w:sz="4" w:space="0" w:color="auto"/>
              <w:bottom w:val="single" w:sz="4" w:space="0" w:color="auto"/>
            </w:tcBorders>
          </w:tcPr>
          <w:p w14:paraId="4CF8AF3A"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7B673476"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41547E64"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24C5A93B" w14:textId="77777777" w:rsidTr="006D4696">
        <w:tc>
          <w:tcPr>
            <w:tcW w:w="610" w:type="pct"/>
            <w:tcBorders>
              <w:top w:val="single" w:sz="4" w:space="0" w:color="auto"/>
              <w:bottom w:val="single" w:sz="4" w:space="0" w:color="auto"/>
              <w:right w:val="single" w:sz="4" w:space="0" w:color="auto"/>
            </w:tcBorders>
          </w:tcPr>
          <w:p w14:paraId="1F901CE2"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111</w:t>
            </w:r>
          </w:p>
        </w:tc>
        <w:tc>
          <w:tcPr>
            <w:tcW w:w="2069" w:type="pct"/>
            <w:tcBorders>
              <w:top w:val="single" w:sz="4" w:space="0" w:color="auto"/>
              <w:left w:val="single" w:sz="4" w:space="0" w:color="auto"/>
              <w:bottom w:val="single" w:sz="4" w:space="0" w:color="auto"/>
              <w:right w:val="single" w:sz="4" w:space="0" w:color="auto"/>
            </w:tcBorders>
          </w:tcPr>
          <w:p w14:paraId="76B0BCC0"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automatyczne wyświetlanie obrazów na tej samej wysokości wyrównanych do klatki piersiowej na krawędzi.</w:t>
            </w:r>
          </w:p>
        </w:tc>
        <w:tc>
          <w:tcPr>
            <w:tcW w:w="1315" w:type="pct"/>
            <w:gridSpan w:val="4"/>
            <w:tcBorders>
              <w:top w:val="single" w:sz="4" w:space="0" w:color="auto"/>
              <w:left w:val="single" w:sz="4" w:space="0" w:color="auto"/>
              <w:bottom w:val="single" w:sz="4" w:space="0" w:color="auto"/>
            </w:tcBorders>
          </w:tcPr>
          <w:p w14:paraId="754609DB"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1AF51D5B"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4873FD35"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40DA6986" w14:textId="77777777" w:rsidTr="006D4696">
        <w:tc>
          <w:tcPr>
            <w:tcW w:w="610" w:type="pct"/>
            <w:tcBorders>
              <w:top w:val="single" w:sz="4" w:space="0" w:color="auto"/>
              <w:bottom w:val="single" w:sz="4" w:space="0" w:color="auto"/>
              <w:right w:val="single" w:sz="4" w:space="0" w:color="auto"/>
            </w:tcBorders>
          </w:tcPr>
          <w:p w14:paraId="0B0AB193"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111</w:t>
            </w:r>
          </w:p>
        </w:tc>
        <w:tc>
          <w:tcPr>
            <w:tcW w:w="2069" w:type="pct"/>
            <w:tcBorders>
              <w:top w:val="single" w:sz="4" w:space="0" w:color="auto"/>
              <w:left w:val="single" w:sz="4" w:space="0" w:color="auto"/>
              <w:bottom w:val="single" w:sz="4" w:space="0" w:color="auto"/>
              <w:right w:val="single" w:sz="4" w:space="0" w:color="auto"/>
            </w:tcBorders>
          </w:tcPr>
          <w:p w14:paraId="344B12AB"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inwersja obrazu nie obejmująca inwersji tła.</w:t>
            </w:r>
          </w:p>
        </w:tc>
        <w:tc>
          <w:tcPr>
            <w:tcW w:w="1315" w:type="pct"/>
            <w:gridSpan w:val="4"/>
            <w:tcBorders>
              <w:top w:val="single" w:sz="4" w:space="0" w:color="auto"/>
              <w:left w:val="single" w:sz="4" w:space="0" w:color="auto"/>
              <w:bottom w:val="single" w:sz="4" w:space="0" w:color="auto"/>
            </w:tcBorders>
          </w:tcPr>
          <w:p w14:paraId="3F1801CA"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170969CB"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5F2C4831"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293E21E9" w14:textId="77777777" w:rsidTr="006D4696">
        <w:tc>
          <w:tcPr>
            <w:tcW w:w="610" w:type="pct"/>
            <w:tcBorders>
              <w:top w:val="single" w:sz="4" w:space="0" w:color="auto"/>
              <w:bottom w:val="single" w:sz="4" w:space="0" w:color="auto"/>
              <w:right w:val="single" w:sz="4" w:space="0" w:color="auto"/>
            </w:tcBorders>
          </w:tcPr>
          <w:p w14:paraId="5D1EB375"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114</w:t>
            </w:r>
          </w:p>
        </w:tc>
        <w:tc>
          <w:tcPr>
            <w:tcW w:w="2069" w:type="pct"/>
            <w:tcBorders>
              <w:top w:val="single" w:sz="4" w:space="0" w:color="auto"/>
              <w:left w:val="single" w:sz="4" w:space="0" w:color="auto"/>
              <w:bottom w:val="single" w:sz="4" w:space="0" w:color="auto"/>
              <w:right w:val="single" w:sz="4" w:space="0" w:color="auto"/>
            </w:tcBorders>
          </w:tcPr>
          <w:p w14:paraId="7DD786C9" w14:textId="1113D5FC"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bookmarkStart w:id="1" w:name="_Hlk113872123"/>
            <w:r w:rsidRPr="00871D08">
              <w:rPr>
                <w:rFonts w:ascii="Times New Roman" w:hAnsi="Times New Roman" w:cs="Times New Roman"/>
                <w:sz w:val="20"/>
                <w:szCs w:val="20"/>
              </w:rPr>
              <w:t>Przy wyjściu z opisu badania bez zapisywania po dokonaniu edycji wyświetla się  ostrzeżenie i zapytanie, czy użytkownik chce odrzucić niezapisane zmiany</w:t>
            </w:r>
            <w:bookmarkEnd w:id="1"/>
          </w:p>
        </w:tc>
        <w:tc>
          <w:tcPr>
            <w:tcW w:w="1315" w:type="pct"/>
            <w:gridSpan w:val="4"/>
            <w:tcBorders>
              <w:top w:val="single" w:sz="4" w:space="0" w:color="auto"/>
              <w:left w:val="single" w:sz="4" w:space="0" w:color="auto"/>
              <w:bottom w:val="single" w:sz="4" w:space="0" w:color="auto"/>
            </w:tcBorders>
          </w:tcPr>
          <w:p w14:paraId="505AD3D1"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477CCA1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p w14:paraId="196109E1"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1006" w:type="pct"/>
            <w:gridSpan w:val="2"/>
            <w:tcBorders>
              <w:top w:val="single" w:sz="4" w:space="0" w:color="auto"/>
              <w:left w:val="single" w:sz="4" w:space="0" w:color="auto"/>
              <w:bottom w:val="single" w:sz="4" w:space="0" w:color="auto"/>
              <w:right w:val="single" w:sz="4" w:space="0" w:color="auto"/>
            </w:tcBorders>
          </w:tcPr>
          <w:p w14:paraId="3AC4C17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19970E7B" w14:textId="77777777" w:rsidTr="006D4696">
        <w:tc>
          <w:tcPr>
            <w:tcW w:w="610" w:type="pct"/>
            <w:tcBorders>
              <w:top w:val="single" w:sz="4" w:space="0" w:color="auto"/>
              <w:bottom w:val="single" w:sz="4" w:space="0" w:color="auto"/>
              <w:right w:val="single" w:sz="4" w:space="0" w:color="auto"/>
            </w:tcBorders>
          </w:tcPr>
          <w:p w14:paraId="6D94B34F"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118</w:t>
            </w:r>
          </w:p>
        </w:tc>
        <w:tc>
          <w:tcPr>
            <w:tcW w:w="2069" w:type="pct"/>
            <w:tcBorders>
              <w:top w:val="single" w:sz="4" w:space="0" w:color="auto"/>
              <w:left w:val="single" w:sz="4" w:space="0" w:color="auto"/>
              <w:bottom w:val="single" w:sz="4" w:space="0" w:color="auto"/>
              <w:right w:val="single" w:sz="4" w:space="0" w:color="auto"/>
            </w:tcBorders>
          </w:tcPr>
          <w:p w14:paraId="7CAFCB77"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Opcja ustawienia lekarza opisującego jako rezydenta (jest to konsultacja, która nie obniża stawki badania o 50%) </w:t>
            </w:r>
          </w:p>
        </w:tc>
        <w:tc>
          <w:tcPr>
            <w:tcW w:w="1315" w:type="pct"/>
            <w:gridSpan w:val="4"/>
            <w:tcBorders>
              <w:top w:val="single" w:sz="4" w:space="0" w:color="auto"/>
              <w:left w:val="single" w:sz="4" w:space="0" w:color="auto"/>
              <w:bottom w:val="single" w:sz="4" w:space="0" w:color="auto"/>
            </w:tcBorders>
          </w:tcPr>
          <w:p w14:paraId="7F1D987A"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2D6F7117"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27524112"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0FA2E1D8" w14:textId="77777777" w:rsidTr="006D4696">
        <w:tc>
          <w:tcPr>
            <w:tcW w:w="610" w:type="pct"/>
            <w:tcBorders>
              <w:top w:val="single" w:sz="4" w:space="0" w:color="auto"/>
              <w:bottom w:val="single" w:sz="4" w:space="0" w:color="auto"/>
              <w:right w:val="single" w:sz="4" w:space="0" w:color="auto"/>
            </w:tcBorders>
          </w:tcPr>
          <w:p w14:paraId="26B1284A"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119</w:t>
            </w:r>
          </w:p>
        </w:tc>
        <w:tc>
          <w:tcPr>
            <w:tcW w:w="2069" w:type="pct"/>
            <w:tcBorders>
              <w:top w:val="single" w:sz="4" w:space="0" w:color="auto"/>
              <w:left w:val="single" w:sz="4" w:space="0" w:color="auto"/>
              <w:bottom w:val="single" w:sz="4" w:space="0" w:color="auto"/>
              <w:right w:val="single" w:sz="4" w:space="0" w:color="auto"/>
            </w:tcBorders>
          </w:tcPr>
          <w:p w14:paraId="756359B3" w14:textId="4104F1A6"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Funkcjonalność tworzenia własnych flag umożliwiająca użytkownikowi utworzenie własnej flagi np. badanie kliniczne/badanie naukowe/badanie interesujące  użytkownika</w:t>
            </w:r>
          </w:p>
        </w:tc>
        <w:tc>
          <w:tcPr>
            <w:tcW w:w="1315" w:type="pct"/>
            <w:gridSpan w:val="4"/>
            <w:tcBorders>
              <w:top w:val="single" w:sz="4" w:space="0" w:color="auto"/>
              <w:left w:val="single" w:sz="4" w:space="0" w:color="auto"/>
              <w:bottom w:val="single" w:sz="4" w:space="0" w:color="auto"/>
            </w:tcBorders>
          </w:tcPr>
          <w:p w14:paraId="7F75186B"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4A36AC65"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2E806B58"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4D6EA52C" w14:textId="77777777" w:rsidTr="006D4696">
        <w:tc>
          <w:tcPr>
            <w:tcW w:w="610" w:type="pct"/>
            <w:tcBorders>
              <w:top w:val="single" w:sz="4" w:space="0" w:color="auto"/>
              <w:bottom w:val="single" w:sz="4" w:space="0" w:color="auto"/>
              <w:right w:val="single" w:sz="4" w:space="0" w:color="auto"/>
            </w:tcBorders>
          </w:tcPr>
          <w:p w14:paraId="107AB293"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lastRenderedPageBreak/>
              <w:t>Pkt 120</w:t>
            </w:r>
          </w:p>
        </w:tc>
        <w:tc>
          <w:tcPr>
            <w:tcW w:w="2069" w:type="pct"/>
            <w:tcBorders>
              <w:top w:val="single" w:sz="4" w:space="0" w:color="auto"/>
              <w:left w:val="single" w:sz="4" w:space="0" w:color="auto"/>
              <w:bottom w:val="single" w:sz="4" w:space="0" w:color="auto"/>
              <w:right w:val="single" w:sz="4" w:space="0" w:color="auto"/>
            </w:tcBorders>
          </w:tcPr>
          <w:p w14:paraId="4E215CC9"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Możliwość ręcznego wprowadzenia kolejności badań na stworzonej przez siebie liście (np. pacjent, który prosi o wcześniejszy opis może zostać ręcznie przeciągnięty na górę stworzonej przez siebie listy.</w:t>
            </w:r>
          </w:p>
        </w:tc>
        <w:tc>
          <w:tcPr>
            <w:tcW w:w="1315" w:type="pct"/>
            <w:gridSpan w:val="4"/>
            <w:tcBorders>
              <w:top w:val="single" w:sz="4" w:space="0" w:color="auto"/>
              <w:left w:val="single" w:sz="4" w:space="0" w:color="auto"/>
              <w:bottom w:val="single" w:sz="4" w:space="0" w:color="auto"/>
            </w:tcBorders>
          </w:tcPr>
          <w:p w14:paraId="70F16B60"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3 pkt</w:t>
            </w:r>
          </w:p>
          <w:p w14:paraId="78B13257"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p w14:paraId="40E5262C"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1006" w:type="pct"/>
            <w:gridSpan w:val="2"/>
            <w:tcBorders>
              <w:top w:val="single" w:sz="4" w:space="0" w:color="auto"/>
              <w:left w:val="single" w:sz="4" w:space="0" w:color="auto"/>
              <w:bottom w:val="single" w:sz="4" w:space="0" w:color="auto"/>
              <w:right w:val="single" w:sz="4" w:space="0" w:color="auto"/>
            </w:tcBorders>
          </w:tcPr>
          <w:p w14:paraId="31F6357C"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7F8CAAB2" w14:textId="4264CAC6" w:rsidTr="00D438E8">
        <w:tc>
          <w:tcPr>
            <w:tcW w:w="610" w:type="pct"/>
            <w:tcBorders>
              <w:top w:val="single" w:sz="4" w:space="0" w:color="auto"/>
              <w:bottom w:val="single" w:sz="4" w:space="0" w:color="auto"/>
              <w:right w:val="single" w:sz="4" w:space="0" w:color="auto"/>
            </w:tcBorders>
            <w:shd w:val="clear" w:color="auto" w:fill="FFFFFF" w:themeFill="background1"/>
          </w:tcPr>
          <w:p w14:paraId="0C3D6DD4" w14:textId="3210CD7F"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B</w:t>
            </w:r>
          </w:p>
        </w:tc>
        <w:tc>
          <w:tcPr>
            <w:tcW w:w="4390" w:type="pct"/>
            <w:gridSpan w:val="7"/>
            <w:tcBorders>
              <w:top w:val="single" w:sz="4" w:space="0" w:color="auto"/>
              <w:left w:val="single" w:sz="4" w:space="0" w:color="auto"/>
              <w:bottom w:val="single" w:sz="4" w:space="0" w:color="auto"/>
            </w:tcBorders>
            <w:shd w:val="clear" w:color="auto" w:fill="FFFFFF" w:themeFill="background1"/>
          </w:tcPr>
          <w:p w14:paraId="2FC3D6D6" w14:textId="119EBA75"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Times New Roman" w:hAnsi="Times New Roman" w:cs="Times New Roman"/>
                <w:b/>
                <w:sz w:val="20"/>
                <w:szCs w:val="20"/>
                <w:lang w:eastAsia="pl-PL"/>
              </w:rPr>
              <w:t>Moduł  archiwum obrazowe (VNA -Vendor Neutral Archive)</w:t>
            </w:r>
          </w:p>
        </w:tc>
      </w:tr>
      <w:tr w:rsidR="00871D08" w:rsidRPr="00871D08" w14:paraId="5A1AFB82" w14:textId="07159F78" w:rsidTr="006D4696">
        <w:tc>
          <w:tcPr>
            <w:tcW w:w="610" w:type="pct"/>
            <w:tcBorders>
              <w:top w:val="single" w:sz="4" w:space="0" w:color="auto"/>
              <w:bottom w:val="single" w:sz="4" w:space="0" w:color="auto"/>
              <w:right w:val="single" w:sz="4" w:space="0" w:color="auto"/>
            </w:tcBorders>
          </w:tcPr>
          <w:p w14:paraId="30D3CF3E"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11</w:t>
            </w:r>
          </w:p>
        </w:tc>
        <w:tc>
          <w:tcPr>
            <w:tcW w:w="2069" w:type="pct"/>
            <w:tcBorders>
              <w:top w:val="single" w:sz="4" w:space="0" w:color="auto"/>
              <w:left w:val="single" w:sz="4" w:space="0" w:color="auto"/>
              <w:bottom w:val="single" w:sz="4" w:space="0" w:color="auto"/>
              <w:right w:val="single" w:sz="4" w:space="0" w:color="auto"/>
            </w:tcBorders>
          </w:tcPr>
          <w:p w14:paraId="48C24574"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Funkcja budowania zasad prefetching-u badań, umożliwiającą wyszczególnienie które z poprzednich badań są istotne dla bieżącego badania w celu automatycznego ich przywracania z archiwum długoterminowego oraz zewnętrznych systemów DICOM, na podstawie danych HL7 i/lub DICOM (np. obszar anatomiczny, rodzaj urządzenia diagnostycznego, wiek badania, priorytet badania)</w:t>
            </w:r>
          </w:p>
        </w:tc>
        <w:tc>
          <w:tcPr>
            <w:tcW w:w="1315" w:type="pct"/>
            <w:gridSpan w:val="4"/>
            <w:tcBorders>
              <w:top w:val="single" w:sz="4" w:space="0" w:color="auto"/>
              <w:left w:val="single" w:sz="4" w:space="0" w:color="auto"/>
              <w:bottom w:val="single" w:sz="4" w:space="0" w:color="auto"/>
            </w:tcBorders>
          </w:tcPr>
          <w:p w14:paraId="5FEF5B5D"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7C90F206"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5FA1B7F4"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63937C42" w14:textId="2FEE390C"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3AB5A16F" w14:textId="77777777" w:rsidTr="006D4696">
        <w:tc>
          <w:tcPr>
            <w:tcW w:w="610" w:type="pct"/>
            <w:tcBorders>
              <w:top w:val="single" w:sz="4" w:space="0" w:color="auto"/>
              <w:bottom w:val="single" w:sz="4" w:space="0" w:color="auto"/>
              <w:right w:val="single" w:sz="4" w:space="0" w:color="auto"/>
            </w:tcBorders>
          </w:tcPr>
          <w:p w14:paraId="0153B452" w14:textId="3DA30AAE"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MS Mincho" w:hAnsi="Times New Roman" w:cs="Times New Roman"/>
                <w:sz w:val="20"/>
                <w:szCs w:val="20"/>
                <w:lang w:eastAsia="ja-JP"/>
              </w:rPr>
              <w:t>Pkt 15</w:t>
            </w:r>
          </w:p>
        </w:tc>
        <w:tc>
          <w:tcPr>
            <w:tcW w:w="2069" w:type="pct"/>
            <w:tcBorders>
              <w:top w:val="single" w:sz="4" w:space="0" w:color="auto"/>
              <w:left w:val="single" w:sz="4" w:space="0" w:color="auto"/>
              <w:bottom w:val="single" w:sz="4" w:space="0" w:color="auto"/>
              <w:right w:val="single" w:sz="4" w:space="0" w:color="auto"/>
            </w:tcBorders>
          </w:tcPr>
          <w:p w14:paraId="03395F2C" w14:textId="51B9955D" w:rsidR="00D438E8" w:rsidRPr="00871D08" w:rsidDel="00B463D1"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hAnsi="Times New Roman" w:cs="Times New Roman"/>
                <w:sz w:val="20"/>
                <w:szCs w:val="20"/>
              </w:rPr>
              <w:t>Funkcjonalność konfiguracji archiwizacji hierarchicznej, w której dane rzadziej używane przenoszone są na archiwa oparte na dyskach wolniejszych, a dane używane częściej przenoszone są na dyski szybsze.</w:t>
            </w:r>
          </w:p>
        </w:tc>
        <w:tc>
          <w:tcPr>
            <w:tcW w:w="1315" w:type="pct"/>
            <w:gridSpan w:val="4"/>
            <w:tcBorders>
              <w:top w:val="single" w:sz="4" w:space="0" w:color="auto"/>
              <w:left w:val="single" w:sz="4" w:space="0" w:color="auto"/>
              <w:bottom w:val="single" w:sz="4" w:space="0" w:color="auto"/>
            </w:tcBorders>
          </w:tcPr>
          <w:p w14:paraId="68DF1484"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5122F06E"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4B04C2FF" w14:textId="77777777" w:rsidR="00D438E8" w:rsidRPr="00871D08" w:rsidRDefault="00D438E8" w:rsidP="00D438E8">
            <w:pPr>
              <w:autoSpaceDE w:val="0"/>
              <w:autoSpaceDN w:val="0"/>
              <w:adjustRightInd w:val="0"/>
              <w:spacing w:after="0" w:line="240" w:lineRule="auto"/>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10B995D4" w14:textId="6454F279"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6681E7CB" w14:textId="77777777" w:rsidTr="006D4696">
        <w:tc>
          <w:tcPr>
            <w:tcW w:w="610" w:type="pct"/>
            <w:tcBorders>
              <w:top w:val="single" w:sz="4" w:space="0" w:color="auto"/>
              <w:bottom w:val="single" w:sz="4" w:space="0" w:color="auto"/>
              <w:right w:val="single" w:sz="4" w:space="0" w:color="auto"/>
            </w:tcBorders>
          </w:tcPr>
          <w:p w14:paraId="2FE4591E" w14:textId="3B772C09"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16</w:t>
            </w:r>
          </w:p>
        </w:tc>
        <w:tc>
          <w:tcPr>
            <w:tcW w:w="2069" w:type="pct"/>
            <w:tcBorders>
              <w:top w:val="single" w:sz="4" w:space="0" w:color="auto"/>
              <w:left w:val="single" w:sz="4" w:space="0" w:color="auto"/>
              <w:bottom w:val="single" w:sz="4" w:space="0" w:color="auto"/>
              <w:right w:val="single" w:sz="4" w:space="0" w:color="auto"/>
            </w:tcBorders>
          </w:tcPr>
          <w:p w14:paraId="663B8FFD" w14:textId="13A5E56A" w:rsidR="00D438E8" w:rsidRPr="00871D08" w:rsidDel="00B463D1"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hAnsi="Times New Roman" w:cs="Times New Roman"/>
                <w:sz w:val="20"/>
                <w:szCs w:val="20"/>
              </w:rPr>
              <w:t>Mechanizm DICOM IOCM (Image Object Change Management) wysyłający obiekty DICOM do archiwum VNA informujące o zmianach w badaniu.</w:t>
            </w:r>
          </w:p>
        </w:tc>
        <w:tc>
          <w:tcPr>
            <w:tcW w:w="1315" w:type="pct"/>
            <w:gridSpan w:val="4"/>
            <w:tcBorders>
              <w:top w:val="single" w:sz="4" w:space="0" w:color="auto"/>
              <w:left w:val="single" w:sz="4" w:space="0" w:color="auto"/>
              <w:bottom w:val="single" w:sz="4" w:space="0" w:color="auto"/>
            </w:tcBorders>
          </w:tcPr>
          <w:p w14:paraId="1E519392"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3A96FEA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160FD0AD"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77C548AC" w14:textId="444260F1"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2F768CE4" w14:textId="2C12DCA0" w:rsidTr="006D4696">
        <w:tc>
          <w:tcPr>
            <w:tcW w:w="610" w:type="pct"/>
            <w:tcBorders>
              <w:top w:val="single" w:sz="4" w:space="0" w:color="auto"/>
              <w:bottom w:val="single" w:sz="4" w:space="0" w:color="auto"/>
              <w:right w:val="single" w:sz="4" w:space="0" w:color="auto"/>
            </w:tcBorders>
          </w:tcPr>
          <w:p w14:paraId="3301254E"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24</w:t>
            </w:r>
          </w:p>
        </w:tc>
        <w:tc>
          <w:tcPr>
            <w:tcW w:w="2069" w:type="pct"/>
            <w:tcBorders>
              <w:top w:val="single" w:sz="4" w:space="0" w:color="auto"/>
              <w:left w:val="single" w:sz="4" w:space="0" w:color="auto"/>
              <w:bottom w:val="single" w:sz="4" w:space="0" w:color="auto"/>
              <w:right w:val="single" w:sz="4" w:space="0" w:color="auto"/>
            </w:tcBorders>
          </w:tcPr>
          <w:p w14:paraId="4E00EA9E" w14:textId="10CBFA4E"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Funkcja wyszukiwania obrazów (po wykonanej procedurze, modalności, nr PESEL pacjenta oraz dacie wykonania badań (okresie od do) oraz eksportu wybranej grupy lub pojedynczego badania zanonimizowanych obrazów DICOM do zewnętrznego źródła. Funkcja ta musi być dostępna z profilu administratora lub lekarza radiologa.</w:t>
            </w:r>
          </w:p>
        </w:tc>
        <w:tc>
          <w:tcPr>
            <w:tcW w:w="1315" w:type="pct"/>
            <w:gridSpan w:val="4"/>
            <w:tcBorders>
              <w:top w:val="single" w:sz="4" w:space="0" w:color="auto"/>
              <w:left w:val="single" w:sz="4" w:space="0" w:color="auto"/>
              <w:bottom w:val="single" w:sz="4" w:space="0" w:color="auto"/>
            </w:tcBorders>
          </w:tcPr>
          <w:p w14:paraId="14357B9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62D3925E"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69A30EA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6AA6A822" w14:textId="24BCB40E"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1368599E" w14:textId="77777777" w:rsidTr="00D438E8">
        <w:tc>
          <w:tcPr>
            <w:tcW w:w="610" w:type="pct"/>
            <w:tcBorders>
              <w:top w:val="single" w:sz="4" w:space="0" w:color="auto"/>
              <w:left w:val="single" w:sz="4" w:space="0" w:color="auto"/>
              <w:bottom w:val="single" w:sz="4" w:space="0" w:color="auto"/>
              <w:right w:val="single" w:sz="4" w:space="0" w:color="auto"/>
            </w:tcBorders>
          </w:tcPr>
          <w:p w14:paraId="582DEA75"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bookmarkStart w:id="2" w:name="_Hlk113340899"/>
            <w:r w:rsidRPr="00871D08">
              <w:rPr>
                <w:rFonts w:ascii="Times New Roman" w:eastAsia="Times New Roman" w:hAnsi="Times New Roman" w:cs="Times New Roman"/>
                <w:sz w:val="20"/>
                <w:szCs w:val="20"/>
                <w:lang w:eastAsia="pl-PL"/>
              </w:rPr>
              <w:t>C</w:t>
            </w:r>
          </w:p>
        </w:tc>
        <w:tc>
          <w:tcPr>
            <w:tcW w:w="4390" w:type="pct"/>
            <w:gridSpan w:val="7"/>
            <w:tcBorders>
              <w:top w:val="single" w:sz="4" w:space="0" w:color="auto"/>
              <w:left w:val="single" w:sz="4" w:space="0" w:color="auto"/>
              <w:bottom w:val="single" w:sz="4" w:space="0" w:color="auto"/>
              <w:right w:val="single" w:sz="4" w:space="0" w:color="auto"/>
            </w:tcBorders>
          </w:tcPr>
          <w:p w14:paraId="43AB0840" w14:textId="0516507C"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871D08">
              <w:rPr>
                <w:rFonts w:ascii="Times New Roman" w:eastAsia="Times New Roman" w:hAnsi="Times New Roman" w:cs="Times New Roman"/>
                <w:b/>
                <w:sz w:val="20"/>
                <w:szCs w:val="20"/>
                <w:lang w:eastAsia="pl-PL"/>
              </w:rPr>
              <w:t>Moduł przeglądarki referencyjnej</w:t>
            </w:r>
          </w:p>
        </w:tc>
      </w:tr>
      <w:tr w:rsidR="00871D08" w:rsidRPr="00871D08" w14:paraId="08A5E65E" w14:textId="77777777" w:rsidTr="006D4696">
        <w:tc>
          <w:tcPr>
            <w:tcW w:w="610" w:type="pct"/>
            <w:tcBorders>
              <w:top w:val="single" w:sz="4" w:space="0" w:color="auto"/>
              <w:left w:val="single" w:sz="4" w:space="0" w:color="auto"/>
              <w:bottom w:val="single" w:sz="4" w:space="0" w:color="auto"/>
              <w:right w:val="single" w:sz="4" w:space="0" w:color="auto"/>
            </w:tcBorders>
          </w:tcPr>
          <w:p w14:paraId="2542B820"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43</w:t>
            </w:r>
          </w:p>
        </w:tc>
        <w:tc>
          <w:tcPr>
            <w:tcW w:w="2069" w:type="pct"/>
            <w:tcBorders>
              <w:top w:val="single" w:sz="4" w:space="0" w:color="auto"/>
              <w:left w:val="single" w:sz="4" w:space="0" w:color="auto"/>
              <w:bottom w:val="single" w:sz="4" w:space="0" w:color="auto"/>
              <w:right w:val="single" w:sz="4" w:space="0" w:color="auto"/>
            </w:tcBorders>
          </w:tcPr>
          <w:p w14:paraId="0B9E602C"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Mechanizm komunikatora - wymiany wiadomości on-line pomiędzy użytkownikami systemu wraz z możliwością udostępnienia oglądanego w czasie rzeczywistym obrazu badania.</w:t>
            </w:r>
          </w:p>
        </w:tc>
        <w:tc>
          <w:tcPr>
            <w:tcW w:w="1315" w:type="pct"/>
            <w:gridSpan w:val="4"/>
            <w:tcBorders>
              <w:top w:val="single" w:sz="4" w:space="0" w:color="auto"/>
              <w:left w:val="single" w:sz="4" w:space="0" w:color="auto"/>
              <w:bottom w:val="single" w:sz="4" w:space="0" w:color="auto"/>
            </w:tcBorders>
          </w:tcPr>
          <w:p w14:paraId="55DC2278"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79232F0E"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55D127A4"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53EAACA6"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right w:val="single" w:sz="4" w:space="0" w:color="auto"/>
            </w:tcBorders>
          </w:tcPr>
          <w:p w14:paraId="6CEE2F9F"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7A5DA78B" w14:textId="77777777" w:rsidTr="006D4696">
        <w:tc>
          <w:tcPr>
            <w:tcW w:w="610" w:type="pct"/>
            <w:tcBorders>
              <w:top w:val="single" w:sz="4" w:space="0" w:color="auto"/>
              <w:left w:val="single" w:sz="4" w:space="0" w:color="auto"/>
              <w:bottom w:val="single" w:sz="4" w:space="0" w:color="auto"/>
              <w:right w:val="single" w:sz="4" w:space="0" w:color="auto"/>
            </w:tcBorders>
          </w:tcPr>
          <w:p w14:paraId="5F836483"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44</w:t>
            </w:r>
          </w:p>
        </w:tc>
        <w:tc>
          <w:tcPr>
            <w:tcW w:w="2069" w:type="pct"/>
            <w:tcBorders>
              <w:top w:val="single" w:sz="4" w:space="0" w:color="auto"/>
              <w:left w:val="single" w:sz="4" w:space="0" w:color="auto"/>
              <w:bottom w:val="single" w:sz="4" w:space="0" w:color="auto"/>
              <w:right w:val="single" w:sz="4" w:space="0" w:color="auto"/>
            </w:tcBorders>
          </w:tcPr>
          <w:p w14:paraId="4EB3D08D"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 xml:space="preserve">Funkcja wspólnej pracy na tym samym badaniu dwóch użytkowników (konsultacja w trybie prezenter-uczestnik): </w:t>
            </w:r>
          </w:p>
          <w:p w14:paraId="63549EB1" w14:textId="77777777" w:rsidR="00D438E8" w:rsidRPr="00871D08" w:rsidRDefault="00D438E8" w:rsidP="00D438E8">
            <w:pPr>
              <w:pStyle w:val="Akapitzlist"/>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 xml:space="preserve">zaproszenie uczestnika do prezentowanej sesji przez wbudowany czat </w:t>
            </w:r>
          </w:p>
          <w:p w14:paraId="4058D49A" w14:textId="77777777" w:rsidR="00D438E8" w:rsidRPr="00871D08" w:rsidRDefault="00D438E8" w:rsidP="00D438E8">
            <w:pPr>
              <w:pStyle w:val="Akapitzlist"/>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 xml:space="preserve">współdzielenie ekranu prezentera uczestnikowi sesji: wyświetlanych obrazów, wykonywanych pomiarów, nanoszonych adnotacji oraz manipulacji obrazami w tym rekonstrukcjami w czasie rzeczywistym z wizualizacją położenia kursora myszy prezentera </w:t>
            </w:r>
          </w:p>
          <w:p w14:paraId="2AE0EBCB" w14:textId="77777777" w:rsidR="00D438E8" w:rsidRPr="00871D08" w:rsidRDefault="00D438E8" w:rsidP="00D438E8">
            <w:pPr>
              <w:pStyle w:val="Akapitzlist"/>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lastRenderedPageBreak/>
              <w:t>możliwość przejęcia kontroli nad obrazem przez uczestnika konsultacji</w:t>
            </w:r>
          </w:p>
        </w:tc>
        <w:tc>
          <w:tcPr>
            <w:tcW w:w="1315" w:type="pct"/>
            <w:gridSpan w:val="4"/>
            <w:tcBorders>
              <w:top w:val="single" w:sz="4" w:space="0" w:color="auto"/>
              <w:left w:val="single" w:sz="4" w:space="0" w:color="auto"/>
              <w:bottom w:val="single" w:sz="4" w:space="0" w:color="auto"/>
            </w:tcBorders>
          </w:tcPr>
          <w:p w14:paraId="11C2880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6EE9B16F"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1648EC4F"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3 pkt</w:t>
            </w:r>
          </w:p>
          <w:p w14:paraId="069E4548"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00D47F9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732EE884"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right w:val="single" w:sz="4" w:space="0" w:color="auto"/>
            </w:tcBorders>
          </w:tcPr>
          <w:p w14:paraId="699B000B"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616D5E2B" w14:textId="77777777" w:rsidTr="006D4696">
        <w:tc>
          <w:tcPr>
            <w:tcW w:w="610" w:type="pct"/>
            <w:tcBorders>
              <w:top w:val="single" w:sz="4" w:space="0" w:color="auto"/>
              <w:left w:val="single" w:sz="4" w:space="0" w:color="auto"/>
              <w:bottom w:val="single" w:sz="4" w:space="0" w:color="auto"/>
              <w:right w:val="single" w:sz="4" w:space="0" w:color="auto"/>
            </w:tcBorders>
          </w:tcPr>
          <w:p w14:paraId="75F181DE"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45</w:t>
            </w:r>
          </w:p>
        </w:tc>
        <w:tc>
          <w:tcPr>
            <w:tcW w:w="2069" w:type="pct"/>
            <w:tcBorders>
              <w:top w:val="single" w:sz="4" w:space="0" w:color="auto"/>
              <w:left w:val="single" w:sz="4" w:space="0" w:color="auto"/>
              <w:bottom w:val="single" w:sz="4" w:space="0" w:color="auto"/>
              <w:right w:val="single" w:sz="4" w:space="0" w:color="auto"/>
            </w:tcBorders>
          </w:tcPr>
          <w:p w14:paraId="4D1023F3"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konsultacji on-line. Funkcja udostępniania badań na zewnątrz (teleradiologia) za pomocą łącza (adresu www) przesyłanego za pomocą email. Funkcja umożliwia dostęp jedynie do wybranego badania wybranego pacjenta. Dostęp chroniony hasłem. Dostęp nie wymaga stworzenia nowego konta użytkownika.</w:t>
            </w:r>
          </w:p>
        </w:tc>
        <w:tc>
          <w:tcPr>
            <w:tcW w:w="1315" w:type="pct"/>
            <w:gridSpan w:val="4"/>
            <w:tcBorders>
              <w:top w:val="single" w:sz="4" w:space="0" w:color="auto"/>
              <w:left w:val="single" w:sz="4" w:space="0" w:color="auto"/>
              <w:bottom w:val="single" w:sz="4" w:space="0" w:color="auto"/>
            </w:tcBorders>
          </w:tcPr>
          <w:p w14:paraId="7F3FF651"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3 pkt</w:t>
            </w:r>
          </w:p>
          <w:p w14:paraId="53D987D9"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5B3D649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5D4845F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right w:val="single" w:sz="4" w:space="0" w:color="auto"/>
            </w:tcBorders>
          </w:tcPr>
          <w:p w14:paraId="38B0605B"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bookmarkEnd w:id="2"/>
      <w:tr w:rsidR="00871D08" w:rsidRPr="00871D08" w14:paraId="6BC1977B" w14:textId="653152F1" w:rsidTr="006D4696">
        <w:tc>
          <w:tcPr>
            <w:tcW w:w="610" w:type="pct"/>
            <w:tcBorders>
              <w:top w:val="single" w:sz="4" w:space="0" w:color="auto"/>
              <w:bottom w:val="single" w:sz="4" w:space="0" w:color="auto"/>
              <w:right w:val="single" w:sz="4" w:space="0" w:color="auto"/>
            </w:tcBorders>
            <w:shd w:val="clear" w:color="auto" w:fill="A6A6A6" w:themeFill="background1" w:themeFillShade="A6"/>
          </w:tcPr>
          <w:p w14:paraId="309434BD"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b/>
                <w:sz w:val="20"/>
                <w:szCs w:val="20"/>
                <w:lang w:eastAsia="pl-PL"/>
              </w:rPr>
            </w:pPr>
          </w:p>
        </w:tc>
        <w:tc>
          <w:tcPr>
            <w:tcW w:w="206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B8106D"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b/>
                <w:sz w:val="20"/>
                <w:szCs w:val="20"/>
                <w:lang w:eastAsia="pl-PL"/>
              </w:rPr>
            </w:pPr>
            <w:r w:rsidRPr="00871D08">
              <w:rPr>
                <w:rFonts w:ascii="Times New Roman" w:eastAsia="Times New Roman" w:hAnsi="Times New Roman" w:cs="Times New Roman"/>
                <w:b/>
                <w:sz w:val="20"/>
                <w:szCs w:val="20"/>
                <w:lang w:eastAsia="pl-PL"/>
              </w:rPr>
              <w:t>Pozostałe parametry</w:t>
            </w:r>
          </w:p>
        </w:tc>
        <w:tc>
          <w:tcPr>
            <w:tcW w:w="1315" w:type="pct"/>
            <w:gridSpan w:val="4"/>
            <w:tcBorders>
              <w:top w:val="single" w:sz="4" w:space="0" w:color="auto"/>
              <w:left w:val="single" w:sz="4" w:space="0" w:color="auto"/>
              <w:bottom w:val="single" w:sz="4" w:space="0" w:color="auto"/>
            </w:tcBorders>
            <w:shd w:val="clear" w:color="auto" w:fill="A6A6A6" w:themeFill="background1" w:themeFillShade="A6"/>
          </w:tcPr>
          <w:p w14:paraId="705AF04C"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sz w:val="20"/>
                <w:szCs w:val="20"/>
                <w:lang w:eastAsia="ja-JP"/>
              </w:rPr>
            </w:pPr>
          </w:p>
        </w:tc>
        <w:tc>
          <w:tcPr>
            <w:tcW w:w="1006" w:type="pct"/>
            <w:gridSpan w:val="2"/>
            <w:tcBorders>
              <w:top w:val="single" w:sz="4" w:space="0" w:color="auto"/>
              <w:left w:val="single" w:sz="4" w:space="0" w:color="auto"/>
              <w:bottom w:val="single" w:sz="4" w:space="0" w:color="auto"/>
            </w:tcBorders>
            <w:shd w:val="clear" w:color="auto" w:fill="A6A6A6" w:themeFill="background1" w:themeFillShade="A6"/>
          </w:tcPr>
          <w:p w14:paraId="3047E10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sz w:val="20"/>
                <w:szCs w:val="20"/>
                <w:lang w:eastAsia="ja-JP"/>
              </w:rPr>
            </w:pPr>
          </w:p>
        </w:tc>
      </w:tr>
      <w:tr w:rsidR="00871D08" w:rsidRPr="00871D08" w14:paraId="74218D50" w14:textId="77777777" w:rsidTr="00F4279D">
        <w:trPr>
          <w:trHeight w:val="837"/>
        </w:trPr>
        <w:tc>
          <w:tcPr>
            <w:tcW w:w="5000" w:type="pct"/>
            <w:gridSpan w:val="8"/>
            <w:tcBorders>
              <w:top w:val="single" w:sz="4" w:space="0" w:color="auto"/>
              <w:bottom w:val="single" w:sz="4" w:space="0" w:color="auto"/>
            </w:tcBorders>
          </w:tcPr>
          <w:p w14:paraId="484B411E" w14:textId="15E8B24B" w:rsidR="00D438E8" w:rsidRPr="00871D08" w:rsidRDefault="00D438E8" w:rsidP="00D438E8">
            <w:pPr>
              <w:pStyle w:val="Akapitzlist"/>
              <w:numPr>
                <w:ilvl w:val="0"/>
                <w:numId w:val="11"/>
              </w:numPr>
              <w:spacing w:after="160" w:line="259" w:lineRule="auto"/>
              <w:ind w:left="142" w:hanging="426"/>
              <w:rPr>
                <w:rFonts w:ascii="Times New Roman" w:hAnsi="Times New Roman" w:cs="Times New Roman"/>
                <w:b/>
                <w:sz w:val="20"/>
                <w:szCs w:val="20"/>
              </w:rPr>
            </w:pPr>
            <w:bookmarkStart w:id="3" w:name="_Hlk110861501"/>
            <w:r w:rsidRPr="00871D08">
              <w:rPr>
                <w:rFonts w:ascii="Times New Roman" w:hAnsi="Times New Roman" w:cs="Times New Roman"/>
                <w:b/>
                <w:sz w:val="20"/>
                <w:szCs w:val="20"/>
              </w:rPr>
              <w:t>Rozdział VII. MINIMALNE WYMAGANIA FUNKCJONALNE DLA OPROGRAMOWANIA SYSTEMOWEGO NA POTRZEBY SYSTEMU ZARZĄDZANIA BADANIAMI DIAGNOSTYCZNYMI</w:t>
            </w:r>
          </w:p>
          <w:bookmarkEnd w:id="3"/>
          <w:p w14:paraId="1DD1C20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p>
        </w:tc>
      </w:tr>
      <w:tr w:rsidR="00871D08" w:rsidRPr="00871D08" w14:paraId="60AE461F" w14:textId="77777777" w:rsidTr="00F4279D">
        <w:trPr>
          <w:trHeight w:val="695"/>
        </w:trPr>
        <w:tc>
          <w:tcPr>
            <w:tcW w:w="5000" w:type="pct"/>
            <w:gridSpan w:val="8"/>
            <w:tcBorders>
              <w:top w:val="single" w:sz="4" w:space="0" w:color="auto"/>
              <w:bottom w:val="single" w:sz="4" w:space="0" w:color="auto"/>
            </w:tcBorders>
          </w:tcPr>
          <w:p w14:paraId="0602CCA6" w14:textId="138CAC6D"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871D08">
              <w:rPr>
                <w:rFonts w:ascii="Times New Roman" w:hAnsi="Times New Roman" w:cs="Times New Roman"/>
                <w:b/>
                <w:sz w:val="20"/>
                <w:szCs w:val="20"/>
              </w:rPr>
              <w:t>Oprogramowanie wirtualizacyjne</w:t>
            </w:r>
          </w:p>
        </w:tc>
      </w:tr>
      <w:tr w:rsidR="00871D08" w:rsidRPr="00871D08" w14:paraId="29191567" w14:textId="77777777" w:rsidTr="006D4696">
        <w:trPr>
          <w:trHeight w:val="695"/>
        </w:trPr>
        <w:tc>
          <w:tcPr>
            <w:tcW w:w="610" w:type="pct"/>
            <w:tcBorders>
              <w:top w:val="single" w:sz="4" w:space="0" w:color="auto"/>
              <w:bottom w:val="single" w:sz="4" w:space="0" w:color="auto"/>
              <w:right w:val="single" w:sz="4" w:space="0" w:color="auto"/>
            </w:tcBorders>
          </w:tcPr>
          <w:p w14:paraId="4E9C6FE7" w14:textId="2A7AD5DD"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 xml:space="preserve">Pkt 32 </w:t>
            </w:r>
          </w:p>
        </w:tc>
        <w:tc>
          <w:tcPr>
            <w:tcW w:w="2069" w:type="pct"/>
            <w:tcBorders>
              <w:top w:val="single" w:sz="4" w:space="0" w:color="auto"/>
              <w:bottom w:val="single" w:sz="4" w:space="0" w:color="auto"/>
            </w:tcBorders>
          </w:tcPr>
          <w:p w14:paraId="6C56D39C" w14:textId="77777777" w:rsidR="00D438E8" w:rsidRPr="00871D08" w:rsidRDefault="00D438E8" w:rsidP="00D438E8">
            <w:pPr>
              <w:autoSpaceDE w:val="0"/>
              <w:autoSpaceDN w:val="0"/>
              <w:adjustRightInd w:val="0"/>
              <w:spacing w:after="0" w:line="240" w:lineRule="auto"/>
              <w:rPr>
                <w:rFonts w:ascii="Times New Roman" w:eastAsia="MS Mincho" w:hAnsi="Times New Roman" w:cs="Times New Roman"/>
                <w:sz w:val="20"/>
                <w:szCs w:val="20"/>
              </w:rPr>
            </w:pPr>
            <w:r w:rsidRPr="00871D08">
              <w:rPr>
                <w:rFonts w:ascii="Times New Roman" w:eastAsia="Times New Roman" w:hAnsi="Times New Roman" w:cs="Times New Roman"/>
                <w:sz w:val="20"/>
                <w:szCs w:val="20"/>
                <w:lang w:eastAsia="pl-PL"/>
              </w:rPr>
              <w:t>Oprogramowanie do wirtualizacji posiadające mechanizm równomiernego obciążenia zasobów obliczeniowych</w:t>
            </w:r>
            <w:r w:rsidRPr="00871D08">
              <w:rPr>
                <w:rFonts w:ascii="Times New Roman" w:eastAsia="MS Mincho" w:hAnsi="Times New Roman" w:cs="Times New Roman"/>
                <w:sz w:val="20"/>
                <w:szCs w:val="20"/>
              </w:rPr>
              <w:t xml:space="preserve"> z  automatyczną migracją maszyn wirtualnych pomiędzy hostami w ramach klastra</w:t>
            </w:r>
          </w:p>
          <w:p w14:paraId="683DF6E6"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p>
          <w:p w14:paraId="627DD88B" w14:textId="7B8CEBC6"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1315" w:type="pct"/>
            <w:gridSpan w:val="4"/>
            <w:tcBorders>
              <w:top w:val="single" w:sz="4" w:space="0" w:color="auto"/>
              <w:left w:val="single" w:sz="4" w:space="0" w:color="auto"/>
              <w:bottom w:val="single" w:sz="4" w:space="0" w:color="auto"/>
            </w:tcBorders>
          </w:tcPr>
          <w:p w14:paraId="10E92E5B"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5CA4151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1DC966B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3DA0C640" w14:textId="595FE806"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000702EF" w14:textId="77777777" w:rsidTr="00F4279D">
        <w:tc>
          <w:tcPr>
            <w:tcW w:w="5000" w:type="pct"/>
            <w:gridSpan w:val="8"/>
            <w:tcBorders>
              <w:top w:val="single" w:sz="4" w:space="0" w:color="auto"/>
              <w:bottom w:val="single" w:sz="4" w:space="0" w:color="auto"/>
            </w:tcBorders>
          </w:tcPr>
          <w:p w14:paraId="30852C73" w14:textId="33786AB0"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871D08">
              <w:rPr>
                <w:rFonts w:ascii="Times New Roman" w:hAnsi="Times New Roman" w:cs="Times New Roman"/>
                <w:b/>
                <w:sz w:val="20"/>
                <w:szCs w:val="20"/>
              </w:rPr>
              <w:t>ROZDZIAŁ XIV.</w:t>
            </w:r>
            <w:r w:rsidRPr="00871D08">
              <w:rPr>
                <w:rFonts w:ascii="Times New Roman" w:hAnsi="Times New Roman" w:cs="Times New Roman"/>
                <w:b/>
                <w:sz w:val="20"/>
                <w:szCs w:val="20"/>
              </w:rPr>
              <w:tab/>
              <w:t>MECHANIZM CIĄGŁEGO MONITOROWANIA KLUCZOWYCH PARAMETRÓW ŻYCIOWYCH CAŁEGO SYSTEMU</w:t>
            </w:r>
          </w:p>
        </w:tc>
      </w:tr>
      <w:tr w:rsidR="00871D08" w:rsidRPr="00871D08" w14:paraId="20FDCED5" w14:textId="7059B919" w:rsidTr="006D4696">
        <w:tc>
          <w:tcPr>
            <w:tcW w:w="610" w:type="pct"/>
            <w:tcBorders>
              <w:top w:val="single" w:sz="4" w:space="0" w:color="auto"/>
              <w:bottom w:val="single" w:sz="4" w:space="0" w:color="auto"/>
              <w:right w:val="single" w:sz="4" w:space="0" w:color="auto"/>
            </w:tcBorders>
          </w:tcPr>
          <w:p w14:paraId="5F583D97" w14:textId="3831D1C9" w:rsidR="00D438E8" w:rsidRPr="00871D08" w:rsidRDefault="00D438E8" w:rsidP="00D438E8">
            <w:pPr>
              <w:autoSpaceDE w:val="0"/>
              <w:autoSpaceDN w:val="0"/>
              <w:adjustRightInd w:val="0"/>
              <w:spacing w:after="0" w:line="240" w:lineRule="auto"/>
              <w:rPr>
                <w:rFonts w:ascii="Times New Roman" w:eastAsia="Times New Roman" w:hAnsi="Times New Roman" w:cs="Times New Roman"/>
                <w:bCs/>
                <w:sz w:val="20"/>
                <w:szCs w:val="20"/>
                <w:lang w:eastAsia="pl-PL"/>
              </w:rPr>
            </w:pPr>
            <w:r w:rsidRPr="00871D08">
              <w:rPr>
                <w:rFonts w:ascii="Times New Roman" w:hAnsi="Times New Roman" w:cs="Times New Roman"/>
                <w:bCs/>
                <w:sz w:val="20"/>
                <w:szCs w:val="20"/>
              </w:rPr>
              <w:t xml:space="preserve">Pkt 1 – 9 </w:t>
            </w:r>
          </w:p>
        </w:tc>
        <w:tc>
          <w:tcPr>
            <w:tcW w:w="2069" w:type="pct"/>
            <w:tcBorders>
              <w:top w:val="single" w:sz="4" w:space="0" w:color="auto"/>
              <w:bottom w:val="single" w:sz="4" w:space="0" w:color="auto"/>
            </w:tcBorders>
          </w:tcPr>
          <w:p w14:paraId="573FB41A" w14:textId="367EEAE4"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Mechanizm ciągłego monitorowania kluczowych parametrów życiowych całego systemu</w:t>
            </w:r>
          </w:p>
        </w:tc>
        <w:tc>
          <w:tcPr>
            <w:tcW w:w="1315" w:type="pct"/>
            <w:gridSpan w:val="4"/>
            <w:tcBorders>
              <w:top w:val="single" w:sz="4" w:space="0" w:color="auto"/>
              <w:left w:val="single" w:sz="4" w:space="0" w:color="auto"/>
              <w:bottom w:val="single" w:sz="4" w:space="0" w:color="auto"/>
            </w:tcBorders>
          </w:tcPr>
          <w:p w14:paraId="41ED3904" w14:textId="70DF42F3"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 xml:space="preserve">Tak – </w:t>
            </w:r>
            <w:r w:rsidR="00FB4766" w:rsidRPr="00871D08">
              <w:rPr>
                <w:rFonts w:ascii="Times New Roman" w:eastAsia="MS Mincho" w:hAnsi="Times New Roman" w:cs="Times New Roman"/>
                <w:sz w:val="20"/>
                <w:szCs w:val="20"/>
                <w:lang w:eastAsia="ja-JP"/>
              </w:rPr>
              <w:t xml:space="preserve">6 </w:t>
            </w:r>
            <w:r w:rsidRPr="00871D08">
              <w:rPr>
                <w:rFonts w:ascii="Times New Roman" w:eastAsia="MS Mincho" w:hAnsi="Times New Roman" w:cs="Times New Roman"/>
                <w:sz w:val="20"/>
                <w:szCs w:val="20"/>
                <w:lang w:eastAsia="ja-JP"/>
              </w:rPr>
              <w:t>pkt</w:t>
            </w:r>
          </w:p>
          <w:p w14:paraId="44B113B0"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584D1A7B"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3D1EEC31" w14:textId="03752B74"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bl>
    <w:p w14:paraId="376A03D5" w14:textId="77777777" w:rsidR="00BC4729" w:rsidRPr="00871D08" w:rsidRDefault="00BC4729" w:rsidP="00BC4729">
      <w:pPr>
        <w:widowControl w:val="0"/>
        <w:rPr>
          <w:rFonts w:ascii="Times New Roman" w:hAnsi="Times New Roman" w:cs="Times New Roman"/>
          <w:b/>
          <w:sz w:val="20"/>
          <w:szCs w:val="20"/>
          <w:lang w:eastAsia="zh-CN"/>
        </w:rPr>
      </w:pPr>
      <w:r w:rsidRPr="00871D08">
        <w:rPr>
          <w:rFonts w:ascii="Times New Roman" w:hAnsi="Times New Roman" w:cs="Times New Roman"/>
          <w:lang w:eastAsia="pl-PL"/>
        </w:rPr>
        <w:t xml:space="preserve">    </w:t>
      </w:r>
      <w:r w:rsidRPr="00871D08">
        <w:rPr>
          <w:rFonts w:ascii="Times New Roman" w:hAnsi="Times New Roman" w:cs="Times New Roman"/>
          <w:b/>
          <w:sz w:val="20"/>
          <w:szCs w:val="20"/>
          <w:lang w:eastAsia="zh-CN"/>
        </w:rPr>
        <w:t xml:space="preserve">* niewłaściwe skreślić lub właściwe zaznaczyć </w:t>
      </w:r>
    </w:p>
    <w:p w14:paraId="68F42562" w14:textId="2E1EBEC7" w:rsidR="00BC4729" w:rsidRPr="00871D08" w:rsidRDefault="00BC4729" w:rsidP="00E55C5E">
      <w:pPr>
        <w:widowControl w:val="0"/>
        <w:jc w:val="both"/>
        <w:rPr>
          <w:rFonts w:ascii="Times New Roman" w:hAnsi="Times New Roman" w:cs="Times New Roman"/>
          <w:bCs/>
          <w:sz w:val="20"/>
          <w:szCs w:val="20"/>
          <w:lang w:eastAsia="zh-CN"/>
        </w:rPr>
      </w:pPr>
      <w:r w:rsidRPr="00871D08">
        <w:rPr>
          <w:rFonts w:ascii="Times New Roman" w:hAnsi="Times New Roman" w:cs="Times New Roman"/>
          <w:bCs/>
          <w:sz w:val="20"/>
          <w:szCs w:val="20"/>
          <w:lang w:eastAsia="zh-CN"/>
        </w:rPr>
        <w:t xml:space="preserve">W przypadku nie skreślenia lub nieznaczenia przez Wykonawcę odpowiedzi TAK lub NIE Zamawiający uzna, że Wykonawcza nie oferuje danej funkcjonalności.  Wykonawcy zostanie przyznana  ilość punktów za odpowiedź NIE (nie dotyczy pkt </w:t>
      </w:r>
      <w:r w:rsidR="006324A9" w:rsidRPr="00871D08">
        <w:rPr>
          <w:rFonts w:ascii="Times New Roman" w:hAnsi="Times New Roman" w:cs="Times New Roman"/>
          <w:bCs/>
          <w:sz w:val="20"/>
          <w:szCs w:val="20"/>
          <w:lang w:eastAsia="zh-CN"/>
        </w:rPr>
        <w:t xml:space="preserve">19 w Wymaganiach ogólnych i </w:t>
      </w:r>
      <w:r w:rsidRPr="00871D08">
        <w:rPr>
          <w:rFonts w:ascii="Times New Roman" w:hAnsi="Times New Roman" w:cs="Times New Roman"/>
          <w:bCs/>
          <w:sz w:val="20"/>
          <w:szCs w:val="20"/>
          <w:lang w:eastAsia="zh-CN"/>
        </w:rPr>
        <w:t xml:space="preserve">28  </w:t>
      </w:r>
      <w:bookmarkStart w:id="4" w:name="_Hlk114467008"/>
      <w:r w:rsidRPr="00871D08">
        <w:rPr>
          <w:rFonts w:ascii="Times New Roman" w:hAnsi="Times New Roman" w:cs="Times New Roman"/>
          <w:bCs/>
          <w:sz w:val="20"/>
          <w:szCs w:val="20"/>
          <w:lang w:eastAsia="zh-CN"/>
        </w:rPr>
        <w:t xml:space="preserve">w </w:t>
      </w:r>
      <w:r w:rsidRPr="00871D08">
        <w:rPr>
          <w:rStyle w:val="BodytextExact"/>
          <w:rFonts w:ascii="Times New Roman" w:hAnsi="Times New Roman" w:cs="Times New Roman"/>
          <w:bCs/>
          <w:color w:val="auto"/>
        </w:rPr>
        <w:t>Module do zarządzania badaniami w Zakładzie Radiologii (RIS)</w:t>
      </w:r>
      <w:bookmarkEnd w:id="4"/>
      <w:r w:rsidRPr="00871D08">
        <w:rPr>
          <w:rStyle w:val="BodytextExact"/>
          <w:rFonts w:ascii="Times New Roman" w:hAnsi="Times New Roman" w:cs="Times New Roman"/>
          <w:bCs/>
          <w:color w:val="auto"/>
        </w:rPr>
        <w:t xml:space="preserve">, gdzie nie zaznaczenie odpowiedzi </w:t>
      </w:r>
      <w:r w:rsidRPr="00871D08">
        <w:rPr>
          <w:rFonts w:ascii="Times New Roman" w:hAnsi="Times New Roman" w:cs="Times New Roman"/>
          <w:bCs/>
          <w:sz w:val="20"/>
          <w:szCs w:val="20"/>
        </w:rPr>
        <w:t xml:space="preserve">oznaczać będzie  niespełnienie wymaganych przez Zamawiającego parametrów minimalnych). </w:t>
      </w:r>
    </w:p>
    <w:p w14:paraId="794AFF3C" w14:textId="77777777" w:rsidR="00BC4729" w:rsidRPr="00871D08" w:rsidRDefault="00BC4729" w:rsidP="00E55C5E">
      <w:pPr>
        <w:widowControl w:val="0"/>
        <w:jc w:val="both"/>
        <w:rPr>
          <w:rFonts w:ascii="Times New Roman" w:hAnsi="Times New Roman" w:cs="Times New Roman"/>
          <w:bCs/>
          <w:sz w:val="20"/>
          <w:szCs w:val="20"/>
          <w:lang w:eastAsia="zh-CN"/>
        </w:rPr>
      </w:pPr>
      <w:r w:rsidRPr="00871D08">
        <w:rPr>
          <w:rFonts w:ascii="Times New Roman" w:hAnsi="Times New Roman" w:cs="Times New Roman"/>
          <w:bCs/>
          <w:sz w:val="20"/>
          <w:szCs w:val="20"/>
        </w:rPr>
        <w:t xml:space="preserve">W przypadku nie wskazania w punkcie 97  </w:t>
      </w:r>
      <w:r w:rsidRPr="00871D08">
        <w:rPr>
          <w:rFonts w:ascii="Times New Roman" w:hAnsi="Times New Roman" w:cs="Times New Roman"/>
          <w:bCs/>
          <w:sz w:val="20"/>
          <w:szCs w:val="20"/>
          <w:lang w:eastAsia="zh-CN"/>
        </w:rPr>
        <w:t xml:space="preserve">w </w:t>
      </w:r>
      <w:r w:rsidRPr="00871D08">
        <w:rPr>
          <w:rStyle w:val="BodytextExact"/>
          <w:rFonts w:ascii="Times New Roman" w:hAnsi="Times New Roman" w:cs="Times New Roman"/>
          <w:bCs/>
          <w:color w:val="auto"/>
        </w:rPr>
        <w:t xml:space="preserve">Module do zarządzania badaniami w Zakładzie Radiologii (RIS) oferowanych funkcji </w:t>
      </w:r>
      <w:r w:rsidRPr="00871D08">
        <w:rPr>
          <w:rFonts w:ascii="Times New Roman" w:hAnsi="Times New Roman" w:cs="Times New Roman"/>
          <w:bCs/>
          <w:sz w:val="20"/>
          <w:szCs w:val="20"/>
        </w:rPr>
        <w:t xml:space="preserve">Zamawiający uzna, iż Wykonawca nie oferuje żadnej funkcji i zostanie mu przyznane 0 pkt. </w:t>
      </w:r>
    </w:p>
    <w:p w14:paraId="4D2E8A72" w14:textId="77777777" w:rsidR="00BC4729" w:rsidRPr="00871D08" w:rsidRDefault="00BC4729" w:rsidP="00BC4729">
      <w:pPr>
        <w:rPr>
          <w:rFonts w:ascii="Tahoma" w:hAnsi="Tahoma" w:cs="Tahoma"/>
          <w:sz w:val="20"/>
          <w:szCs w:val="20"/>
        </w:rPr>
      </w:pPr>
    </w:p>
    <w:p w14:paraId="24B16CF2" w14:textId="77777777" w:rsidR="006F325C" w:rsidRPr="00871D08" w:rsidRDefault="006F325C">
      <w:pPr>
        <w:rPr>
          <w:rFonts w:ascii="Tahoma" w:hAnsi="Tahoma" w:cs="Tahoma"/>
          <w:sz w:val="20"/>
          <w:szCs w:val="20"/>
        </w:rPr>
      </w:pPr>
    </w:p>
    <w:sectPr w:rsidR="006F325C" w:rsidRPr="00871D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CA5D" w14:textId="77777777" w:rsidR="00B6364F" w:rsidRDefault="00B6364F" w:rsidP="00B6364F">
      <w:pPr>
        <w:spacing w:after="0" w:line="240" w:lineRule="auto"/>
      </w:pPr>
      <w:r>
        <w:separator/>
      </w:r>
    </w:p>
  </w:endnote>
  <w:endnote w:type="continuationSeparator" w:id="0">
    <w:p w14:paraId="7F28D447" w14:textId="77777777" w:rsidR="00B6364F" w:rsidRDefault="00B6364F" w:rsidP="00B6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AEB1" w14:textId="77777777" w:rsidR="00B6364F" w:rsidRDefault="00B6364F" w:rsidP="00B6364F">
      <w:pPr>
        <w:spacing w:after="0" w:line="240" w:lineRule="auto"/>
      </w:pPr>
      <w:r>
        <w:separator/>
      </w:r>
    </w:p>
  </w:footnote>
  <w:footnote w:type="continuationSeparator" w:id="0">
    <w:p w14:paraId="04FDE44C" w14:textId="77777777" w:rsidR="00B6364F" w:rsidRDefault="00B6364F" w:rsidP="00B6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68B8" w14:textId="7F01DF53" w:rsidR="00393954" w:rsidRDefault="00393954" w:rsidP="00393954">
    <w:pPr>
      <w:pStyle w:val="Nagwek"/>
      <w:tabs>
        <w:tab w:val="clear" w:pos="4536"/>
        <w:tab w:val="clear" w:pos="9072"/>
        <w:tab w:val="left" w:pos="3991"/>
      </w:tabs>
    </w:pPr>
    <w:r>
      <w:tab/>
    </w:r>
    <w:r>
      <w:rPr>
        <w:noProof/>
      </w:rPr>
      <w:drawing>
        <wp:inline distT="0" distB="0" distL="0" distR="0" wp14:anchorId="05E16127" wp14:editId="60C5C046">
          <wp:extent cx="5760720" cy="615848"/>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27"/>
    <w:multiLevelType w:val="hybridMultilevel"/>
    <w:tmpl w:val="FF82D822"/>
    <w:lvl w:ilvl="0" w:tplc="31A4B6D0">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170C9"/>
    <w:multiLevelType w:val="hybridMultilevel"/>
    <w:tmpl w:val="8D9E8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490B3D"/>
    <w:multiLevelType w:val="hybridMultilevel"/>
    <w:tmpl w:val="8D9E8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F80AC8"/>
    <w:multiLevelType w:val="hybridMultilevel"/>
    <w:tmpl w:val="88242C22"/>
    <w:lvl w:ilvl="0" w:tplc="B8B6A5A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A023B8"/>
    <w:multiLevelType w:val="hybridMultilevel"/>
    <w:tmpl w:val="F0CC7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20CD8"/>
    <w:multiLevelType w:val="hybridMultilevel"/>
    <w:tmpl w:val="2F70317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 w15:restartNumberingAfterBreak="0">
    <w:nsid w:val="2D3B71FC"/>
    <w:multiLevelType w:val="hybridMultilevel"/>
    <w:tmpl w:val="92F43246"/>
    <w:lvl w:ilvl="0" w:tplc="368C13B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057EE1"/>
    <w:multiLevelType w:val="hybridMultilevel"/>
    <w:tmpl w:val="97F40B2A"/>
    <w:lvl w:ilvl="0" w:tplc="A9546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776133"/>
    <w:multiLevelType w:val="hybridMultilevel"/>
    <w:tmpl w:val="40742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7057BE"/>
    <w:multiLevelType w:val="hybridMultilevel"/>
    <w:tmpl w:val="86EA2CBC"/>
    <w:lvl w:ilvl="0" w:tplc="73480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5A3F64"/>
    <w:multiLevelType w:val="hybridMultilevel"/>
    <w:tmpl w:val="DF08F454"/>
    <w:lvl w:ilvl="0" w:tplc="B60C68A4">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C3330F"/>
    <w:multiLevelType w:val="hybridMultilevel"/>
    <w:tmpl w:val="FBF8F71E"/>
    <w:lvl w:ilvl="0" w:tplc="B654382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661409"/>
    <w:multiLevelType w:val="hybridMultilevel"/>
    <w:tmpl w:val="86EA2CB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C21FB2"/>
    <w:multiLevelType w:val="hybridMultilevel"/>
    <w:tmpl w:val="71D2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25598E"/>
    <w:multiLevelType w:val="hybridMultilevel"/>
    <w:tmpl w:val="E398CA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8915481">
    <w:abstractNumId w:val="4"/>
  </w:num>
  <w:num w:numId="2" w16cid:durableId="1861970330">
    <w:abstractNumId w:val="11"/>
  </w:num>
  <w:num w:numId="3" w16cid:durableId="421344857">
    <w:abstractNumId w:val="0"/>
  </w:num>
  <w:num w:numId="4" w16cid:durableId="620188993">
    <w:abstractNumId w:val="6"/>
  </w:num>
  <w:num w:numId="5" w16cid:durableId="1147353784">
    <w:abstractNumId w:val="3"/>
  </w:num>
  <w:num w:numId="6" w16cid:durableId="1602372703">
    <w:abstractNumId w:val="10"/>
  </w:num>
  <w:num w:numId="7" w16cid:durableId="439757975">
    <w:abstractNumId w:val="14"/>
  </w:num>
  <w:num w:numId="8" w16cid:durableId="1768885473">
    <w:abstractNumId w:val="13"/>
  </w:num>
  <w:num w:numId="9" w16cid:durableId="1887449384">
    <w:abstractNumId w:val="7"/>
  </w:num>
  <w:num w:numId="10" w16cid:durableId="342635018">
    <w:abstractNumId w:val="8"/>
  </w:num>
  <w:num w:numId="11" w16cid:durableId="70474275">
    <w:abstractNumId w:val="9"/>
  </w:num>
  <w:num w:numId="12" w16cid:durableId="1318417438">
    <w:abstractNumId w:val="12"/>
  </w:num>
  <w:num w:numId="13" w16cid:durableId="1280070199">
    <w:abstractNumId w:val="2"/>
  </w:num>
  <w:num w:numId="14" w16cid:durableId="1469972698">
    <w:abstractNumId w:val="5"/>
  </w:num>
  <w:num w:numId="15" w16cid:durableId="384184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DE"/>
    <w:rsid w:val="00002144"/>
    <w:rsid w:val="00043996"/>
    <w:rsid w:val="000D78BC"/>
    <w:rsid w:val="00104A92"/>
    <w:rsid w:val="0016706E"/>
    <w:rsid w:val="001823C9"/>
    <w:rsid w:val="001A29C0"/>
    <w:rsid w:val="001C6270"/>
    <w:rsid w:val="001D2A5C"/>
    <w:rsid w:val="001D6F12"/>
    <w:rsid w:val="001E2B35"/>
    <w:rsid w:val="00200463"/>
    <w:rsid w:val="00247074"/>
    <w:rsid w:val="00275D85"/>
    <w:rsid w:val="002851CA"/>
    <w:rsid w:val="00296370"/>
    <w:rsid w:val="00310A24"/>
    <w:rsid w:val="00310E4E"/>
    <w:rsid w:val="00320321"/>
    <w:rsid w:val="0032398B"/>
    <w:rsid w:val="00330DB4"/>
    <w:rsid w:val="00332BAB"/>
    <w:rsid w:val="00376659"/>
    <w:rsid w:val="00384D2A"/>
    <w:rsid w:val="00393954"/>
    <w:rsid w:val="003A7E76"/>
    <w:rsid w:val="003B56FC"/>
    <w:rsid w:val="003D387E"/>
    <w:rsid w:val="003E571C"/>
    <w:rsid w:val="003F0439"/>
    <w:rsid w:val="0040761F"/>
    <w:rsid w:val="00464195"/>
    <w:rsid w:val="0047048A"/>
    <w:rsid w:val="00477DDA"/>
    <w:rsid w:val="004814A7"/>
    <w:rsid w:val="0049156D"/>
    <w:rsid w:val="004A0C9A"/>
    <w:rsid w:val="004C1643"/>
    <w:rsid w:val="004C19A8"/>
    <w:rsid w:val="004C2F90"/>
    <w:rsid w:val="004C363D"/>
    <w:rsid w:val="004E156A"/>
    <w:rsid w:val="004E4A4B"/>
    <w:rsid w:val="005024C7"/>
    <w:rsid w:val="005132A2"/>
    <w:rsid w:val="005321EC"/>
    <w:rsid w:val="005341CC"/>
    <w:rsid w:val="00544170"/>
    <w:rsid w:val="00545F91"/>
    <w:rsid w:val="0056777C"/>
    <w:rsid w:val="005A4DA8"/>
    <w:rsid w:val="005B28D2"/>
    <w:rsid w:val="005C6C26"/>
    <w:rsid w:val="0062516F"/>
    <w:rsid w:val="006324A9"/>
    <w:rsid w:val="006339CD"/>
    <w:rsid w:val="00662FBE"/>
    <w:rsid w:val="006809A0"/>
    <w:rsid w:val="00685EF4"/>
    <w:rsid w:val="006B12B4"/>
    <w:rsid w:val="006D09DE"/>
    <w:rsid w:val="006D4696"/>
    <w:rsid w:val="006E015B"/>
    <w:rsid w:val="006E0EB0"/>
    <w:rsid w:val="006F2E80"/>
    <w:rsid w:val="006F325C"/>
    <w:rsid w:val="00724AEC"/>
    <w:rsid w:val="00733A3E"/>
    <w:rsid w:val="007374A4"/>
    <w:rsid w:val="00754858"/>
    <w:rsid w:val="00762CBA"/>
    <w:rsid w:val="007677CF"/>
    <w:rsid w:val="00771226"/>
    <w:rsid w:val="00773FA2"/>
    <w:rsid w:val="00793C2F"/>
    <w:rsid w:val="007A51DC"/>
    <w:rsid w:val="007A77F3"/>
    <w:rsid w:val="007C6032"/>
    <w:rsid w:val="00845B7C"/>
    <w:rsid w:val="008703FC"/>
    <w:rsid w:val="00870855"/>
    <w:rsid w:val="00871D08"/>
    <w:rsid w:val="008769AF"/>
    <w:rsid w:val="008C18C7"/>
    <w:rsid w:val="008D114E"/>
    <w:rsid w:val="008D59BE"/>
    <w:rsid w:val="008F24E6"/>
    <w:rsid w:val="00920423"/>
    <w:rsid w:val="00921E57"/>
    <w:rsid w:val="009316AC"/>
    <w:rsid w:val="00934B2F"/>
    <w:rsid w:val="00943BCC"/>
    <w:rsid w:val="009657C1"/>
    <w:rsid w:val="00980AE2"/>
    <w:rsid w:val="009916E7"/>
    <w:rsid w:val="0099198A"/>
    <w:rsid w:val="009A24B7"/>
    <w:rsid w:val="009B5AD7"/>
    <w:rsid w:val="009C5CB4"/>
    <w:rsid w:val="009C7043"/>
    <w:rsid w:val="009D6383"/>
    <w:rsid w:val="009E3D7D"/>
    <w:rsid w:val="009F326E"/>
    <w:rsid w:val="00A1782B"/>
    <w:rsid w:val="00A701FD"/>
    <w:rsid w:val="00A74EF8"/>
    <w:rsid w:val="00A82895"/>
    <w:rsid w:val="00A85DCD"/>
    <w:rsid w:val="00A9209A"/>
    <w:rsid w:val="00AA5E7D"/>
    <w:rsid w:val="00AB0102"/>
    <w:rsid w:val="00AB43F2"/>
    <w:rsid w:val="00AC17CD"/>
    <w:rsid w:val="00AF0C2D"/>
    <w:rsid w:val="00AF0C7E"/>
    <w:rsid w:val="00B1237A"/>
    <w:rsid w:val="00B135FC"/>
    <w:rsid w:val="00B463D1"/>
    <w:rsid w:val="00B6364F"/>
    <w:rsid w:val="00B65631"/>
    <w:rsid w:val="00BC1963"/>
    <w:rsid w:val="00BC4729"/>
    <w:rsid w:val="00BD1F73"/>
    <w:rsid w:val="00BD7C4D"/>
    <w:rsid w:val="00C005C0"/>
    <w:rsid w:val="00C33264"/>
    <w:rsid w:val="00C33668"/>
    <w:rsid w:val="00C346DD"/>
    <w:rsid w:val="00C40F35"/>
    <w:rsid w:val="00C418F9"/>
    <w:rsid w:val="00C53C30"/>
    <w:rsid w:val="00C56888"/>
    <w:rsid w:val="00C62F3F"/>
    <w:rsid w:val="00CB29AD"/>
    <w:rsid w:val="00CC2ED3"/>
    <w:rsid w:val="00CC3F66"/>
    <w:rsid w:val="00CD44AA"/>
    <w:rsid w:val="00CE0479"/>
    <w:rsid w:val="00D10D05"/>
    <w:rsid w:val="00D27335"/>
    <w:rsid w:val="00D438E8"/>
    <w:rsid w:val="00D648D5"/>
    <w:rsid w:val="00D772BA"/>
    <w:rsid w:val="00D84129"/>
    <w:rsid w:val="00D85F11"/>
    <w:rsid w:val="00D92BE7"/>
    <w:rsid w:val="00DA0E4A"/>
    <w:rsid w:val="00DF6E5C"/>
    <w:rsid w:val="00DF7A96"/>
    <w:rsid w:val="00E1061B"/>
    <w:rsid w:val="00E12829"/>
    <w:rsid w:val="00E3214D"/>
    <w:rsid w:val="00E40703"/>
    <w:rsid w:val="00E447E1"/>
    <w:rsid w:val="00E449C9"/>
    <w:rsid w:val="00E464FD"/>
    <w:rsid w:val="00E55C5E"/>
    <w:rsid w:val="00E8541E"/>
    <w:rsid w:val="00EA758A"/>
    <w:rsid w:val="00EB42A4"/>
    <w:rsid w:val="00EB672F"/>
    <w:rsid w:val="00EE67D3"/>
    <w:rsid w:val="00F03405"/>
    <w:rsid w:val="00F07B66"/>
    <w:rsid w:val="00F13774"/>
    <w:rsid w:val="00F15631"/>
    <w:rsid w:val="00F4279D"/>
    <w:rsid w:val="00F80D9B"/>
    <w:rsid w:val="00FA09BC"/>
    <w:rsid w:val="00FA2499"/>
    <w:rsid w:val="00FA5E9D"/>
    <w:rsid w:val="00FB4766"/>
    <w:rsid w:val="00FD744B"/>
    <w:rsid w:val="00FF1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0F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A4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09DE"/>
    <w:rPr>
      <w:color w:val="0563C1" w:themeColor="hyperlink"/>
      <w:u w:val="single"/>
    </w:rPr>
  </w:style>
  <w:style w:type="table" w:styleId="Tabela-Siatka">
    <w:name w:val="Table Grid"/>
    <w:basedOn w:val="Standardowy"/>
    <w:uiPriority w:val="39"/>
    <w:rsid w:val="0076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D772BA"/>
    <w:pPr>
      <w:ind w:left="720"/>
      <w:contextualSpacing/>
    </w:pPr>
  </w:style>
  <w:style w:type="paragraph" w:styleId="Poprawka">
    <w:name w:val="Revision"/>
    <w:hidden/>
    <w:uiPriority w:val="99"/>
    <w:semiHidden/>
    <w:rsid w:val="005132A2"/>
    <w:pPr>
      <w:spacing w:after="0" w:line="240" w:lineRule="auto"/>
    </w:pPr>
  </w:style>
  <w:style w:type="character" w:styleId="Odwoaniedokomentarza">
    <w:name w:val="annotation reference"/>
    <w:basedOn w:val="Domylnaczcionkaakapitu"/>
    <w:uiPriority w:val="99"/>
    <w:unhideWhenUsed/>
    <w:rsid w:val="005132A2"/>
    <w:rPr>
      <w:sz w:val="16"/>
      <w:szCs w:val="16"/>
    </w:rPr>
  </w:style>
  <w:style w:type="paragraph" w:styleId="Tekstkomentarza">
    <w:name w:val="annotation text"/>
    <w:basedOn w:val="Normalny"/>
    <w:link w:val="TekstkomentarzaZnak"/>
    <w:uiPriority w:val="99"/>
    <w:unhideWhenUsed/>
    <w:qFormat/>
    <w:rsid w:val="005132A2"/>
    <w:pPr>
      <w:spacing w:line="240" w:lineRule="auto"/>
    </w:pPr>
    <w:rPr>
      <w:sz w:val="20"/>
      <w:szCs w:val="20"/>
    </w:rPr>
  </w:style>
  <w:style w:type="character" w:customStyle="1" w:styleId="TekstkomentarzaZnak">
    <w:name w:val="Tekst komentarza Znak"/>
    <w:basedOn w:val="Domylnaczcionkaakapitu"/>
    <w:link w:val="Tekstkomentarza"/>
    <w:uiPriority w:val="99"/>
    <w:rsid w:val="005132A2"/>
    <w:rPr>
      <w:sz w:val="20"/>
      <w:szCs w:val="20"/>
    </w:rPr>
  </w:style>
  <w:style w:type="paragraph" w:styleId="Tematkomentarza">
    <w:name w:val="annotation subject"/>
    <w:basedOn w:val="Tekstkomentarza"/>
    <w:next w:val="Tekstkomentarza"/>
    <w:link w:val="TematkomentarzaZnak"/>
    <w:uiPriority w:val="99"/>
    <w:semiHidden/>
    <w:unhideWhenUsed/>
    <w:rsid w:val="005132A2"/>
    <w:rPr>
      <w:b/>
      <w:bCs/>
    </w:rPr>
  </w:style>
  <w:style w:type="character" w:customStyle="1" w:styleId="TematkomentarzaZnak">
    <w:name w:val="Temat komentarza Znak"/>
    <w:basedOn w:val="TekstkomentarzaZnak"/>
    <w:link w:val="Tematkomentarza"/>
    <w:uiPriority w:val="99"/>
    <w:semiHidden/>
    <w:rsid w:val="005132A2"/>
    <w:rPr>
      <w:b/>
      <w:bCs/>
      <w:sz w:val="20"/>
      <w:szCs w:val="20"/>
    </w:rPr>
  </w:style>
  <w:style w:type="character" w:customStyle="1" w:styleId="BodytextExact">
    <w:name w:val="Body text Exact"/>
    <w:basedOn w:val="Domylnaczcionkaakapitu"/>
    <w:rsid w:val="003E571C"/>
    <w:rPr>
      <w:rFonts w:ascii="Calibri" w:eastAsia="Calibri" w:hAnsi="Calibri" w:cs="Calibri" w:hint="default"/>
      <w:b w:val="0"/>
      <w:bCs w:val="0"/>
      <w:i w:val="0"/>
      <w:iCs w:val="0"/>
      <w:smallCaps w:val="0"/>
      <w:strike w:val="0"/>
      <w:dstrike w:val="0"/>
      <w:color w:val="141414"/>
      <w:spacing w:val="1"/>
      <w:sz w:val="20"/>
      <w:szCs w:val="20"/>
      <w:u w:val="none"/>
      <w:effect w:val="none"/>
    </w:rPr>
  </w:style>
  <w:style w:type="paragraph" w:styleId="Tekstdymka">
    <w:name w:val="Balloon Text"/>
    <w:basedOn w:val="Normalny"/>
    <w:link w:val="TekstdymkaZnak"/>
    <w:uiPriority w:val="99"/>
    <w:semiHidden/>
    <w:unhideWhenUsed/>
    <w:rsid w:val="000439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996"/>
    <w:rPr>
      <w:rFonts w:ascii="Segoe UI" w:hAnsi="Segoe UI" w:cs="Segoe UI"/>
      <w:sz w:val="18"/>
      <w:szCs w:val="18"/>
    </w:rPr>
  </w:style>
  <w:style w:type="paragraph" w:styleId="Nagwek">
    <w:name w:val="header"/>
    <w:basedOn w:val="Normalny"/>
    <w:link w:val="NagwekZnak"/>
    <w:uiPriority w:val="99"/>
    <w:unhideWhenUsed/>
    <w:rsid w:val="00B636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364F"/>
  </w:style>
  <w:style w:type="paragraph" w:styleId="Stopka">
    <w:name w:val="footer"/>
    <w:basedOn w:val="Normalny"/>
    <w:link w:val="StopkaZnak"/>
    <w:uiPriority w:val="99"/>
    <w:unhideWhenUsed/>
    <w:rsid w:val="00B636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364F"/>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8D59BE"/>
  </w:style>
  <w:style w:type="paragraph" w:styleId="Tekstprzypisukocowego">
    <w:name w:val="endnote text"/>
    <w:basedOn w:val="Normalny"/>
    <w:link w:val="TekstprzypisukocowegoZnak"/>
    <w:uiPriority w:val="99"/>
    <w:semiHidden/>
    <w:unhideWhenUsed/>
    <w:rsid w:val="00934B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4B2F"/>
    <w:rPr>
      <w:sz w:val="20"/>
      <w:szCs w:val="20"/>
    </w:rPr>
  </w:style>
  <w:style w:type="character" w:styleId="Odwoanieprzypisukocowego">
    <w:name w:val="endnote reference"/>
    <w:basedOn w:val="Domylnaczcionkaakapitu"/>
    <w:uiPriority w:val="99"/>
    <w:semiHidden/>
    <w:unhideWhenUsed/>
    <w:rsid w:val="00934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242">
      <w:bodyDiv w:val="1"/>
      <w:marLeft w:val="0"/>
      <w:marRight w:val="0"/>
      <w:marTop w:val="0"/>
      <w:marBottom w:val="0"/>
      <w:divBdr>
        <w:top w:val="none" w:sz="0" w:space="0" w:color="auto"/>
        <w:left w:val="none" w:sz="0" w:space="0" w:color="auto"/>
        <w:bottom w:val="none" w:sz="0" w:space="0" w:color="auto"/>
        <w:right w:val="none" w:sz="0" w:space="0" w:color="auto"/>
      </w:divBdr>
    </w:div>
    <w:div w:id="333150382">
      <w:bodyDiv w:val="1"/>
      <w:marLeft w:val="0"/>
      <w:marRight w:val="0"/>
      <w:marTop w:val="0"/>
      <w:marBottom w:val="0"/>
      <w:divBdr>
        <w:top w:val="none" w:sz="0" w:space="0" w:color="auto"/>
        <w:left w:val="none" w:sz="0" w:space="0" w:color="auto"/>
        <w:bottom w:val="none" w:sz="0" w:space="0" w:color="auto"/>
        <w:right w:val="none" w:sz="0" w:space="0" w:color="auto"/>
      </w:divBdr>
    </w:div>
    <w:div w:id="1139953856">
      <w:bodyDiv w:val="1"/>
      <w:marLeft w:val="0"/>
      <w:marRight w:val="0"/>
      <w:marTop w:val="0"/>
      <w:marBottom w:val="0"/>
      <w:divBdr>
        <w:top w:val="none" w:sz="0" w:space="0" w:color="auto"/>
        <w:left w:val="none" w:sz="0" w:space="0" w:color="auto"/>
        <w:bottom w:val="none" w:sz="0" w:space="0" w:color="auto"/>
        <w:right w:val="none" w:sz="0" w:space="0" w:color="auto"/>
      </w:divBdr>
    </w:div>
    <w:div w:id="165795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402F-6E96-4D56-A7E4-81E4C1E1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8601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2022-11-15T19:03:00Z</dcterms:created>
  <dcterms:modified xsi:type="dcterms:W3CDTF">2022-11-18T10:09:00Z</dcterms:modified>
</cp:coreProperties>
</file>