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A7B" w14:textId="5BD21132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0" w:name="_Hlk519078429"/>
      <w:r w:rsidRPr="00D25476">
        <w:rPr>
          <w:rFonts w:ascii="Tahoma" w:hAnsi="Tahoma" w:cs="Tahoma"/>
          <w:b/>
          <w:color w:val="000000"/>
          <w:sz w:val="18"/>
          <w:szCs w:val="18"/>
        </w:rPr>
        <w:t>Załącznik nr 1</w:t>
      </w:r>
      <w:r w:rsidR="005A163B" w:rsidRPr="00D25476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3F139EE0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0A212016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2C4078">
        <w:rPr>
          <w:rFonts w:ascii="Tahoma" w:hAnsi="Tahoma" w:cs="Tahoma"/>
          <w:color w:val="000000"/>
          <w:sz w:val="20"/>
          <w:szCs w:val="20"/>
        </w:rPr>
        <w:t>DZP.</w:t>
      </w:r>
      <w:r w:rsidR="00D25476">
        <w:rPr>
          <w:rFonts w:ascii="Tahoma" w:hAnsi="Tahoma" w:cs="Tahoma"/>
          <w:color w:val="000000"/>
          <w:sz w:val="20"/>
          <w:szCs w:val="20"/>
        </w:rPr>
        <w:t>2</w:t>
      </w:r>
      <w:r w:rsidR="002C4078">
        <w:rPr>
          <w:rFonts w:ascii="Tahoma" w:hAnsi="Tahoma" w:cs="Tahoma"/>
          <w:color w:val="000000"/>
          <w:sz w:val="20"/>
          <w:szCs w:val="20"/>
        </w:rPr>
        <w:t>81.</w:t>
      </w:r>
      <w:r w:rsidR="00D25476">
        <w:rPr>
          <w:rFonts w:ascii="Tahoma" w:hAnsi="Tahoma" w:cs="Tahoma"/>
          <w:color w:val="000000"/>
          <w:sz w:val="20"/>
          <w:szCs w:val="20"/>
        </w:rPr>
        <w:t>2A</w:t>
      </w:r>
      <w:r w:rsidR="002C4078">
        <w:rPr>
          <w:rFonts w:ascii="Tahoma" w:hAnsi="Tahoma" w:cs="Tahoma"/>
          <w:color w:val="000000"/>
          <w:sz w:val="20"/>
          <w:szCs w:val="20"/>
        </w:rPr>
        <w:t>.202</w:t>
      </w:r>
      <w:r w:rsidR="00D25476">
        <w:rPr>
          <w:rFonts w:ascii="Tahoma" w:hAnsi="Tahoma" w:cs="Tahoma"/>
          <w:color w:val="000000"/>
          <w:sz w:val="20"/>
          <w:szCs w:val="20"/>
        </w:rPr>
        <w:t>4</w:t>
      </w:r>
      <w:r w:rsidR="002C4078">
        <w:rPr>
          <w:rFonts w:ascii="Tahoma" w:hAnsi="Tahoma" w:cs="Tahoma"/>
          <w:color w:val="000000"/>
          <w:sz w:val="20"/>
          <w:szCs w:val="20"/>
        </w:rPr>
        <w:t>/</w:t>
      </w:r>
      <w:r w:rsidR="00BE357A">
        <w:rPr>
          <w:rFonts w:ascii="Tahoma" w:hAnsi="Tahoma" w:cs="Tahoma"/>
          <w:color w:val="000000"/>
          <w:sz w:val="20"/>
          <w:szCs w:val="20"/>
        </w:rPr>
        <w:t>…</w:t>
      </w:r>
      <w:r w:rsidR="009C58D1" w:rsidRPr="002C40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3DBFD4" w14:textId="77777777" w:rsidR="00D25476" w:rsidRPr="002C4078" w:rsidRDefault="00D25476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D25476" w:rsidRDefault="005A163B" w:rsidP="005A163B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osoba sprawująca nadzór </w:t>
      </w:r>
      <w:r w:rsidR="00326384" w:rsidRPr="00D25476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14:paraId="01319F17" w14:textId="77777777" w:rsidR="00326384" w:rsidRPr="00D25476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16"/>
          <w:szCs w:val="16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</w:t>
      </w:r>
      <w:r w:rsidRPr="00D25476">
        <w:rPr>
          <w:rFonts w:ascii="Tahoma" w:hAnsi="Tahoma" w:cs="Tahoma"/>
          <w:color w:val="000000"/>
          <w:sz w:val="16"/>
          <w:szCs w:val="16"/>
        </w:rPr>
        <w:t>nazwa firmy</w:t>
      </w:r>
    </w:p>
    <w:p w14:paraId="74298125" w14:textId="77777777" w:rsidR="00D25476" w:rsidRPr="00D25476" w:rsidRDefault="00D25476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A4B57AC" w14:textId="77777777" w:rsidR="005A163B" w:rsidRPr="002C4078" w:rsidRDefault="00326384" w:rsidP="00D25476">
      <w:pPr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03E94A3F" w:rsidR="00326384" w:rsidRPr="00D25476" w:rsidRDefault="005A163B" w:rsidP="00D25476">
      <w:pPr>
        <w:ind w:right="170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adres</w:t>
      </w:r>
    </w:p>
    <w:p w14:paraId="61930E9D" w14:textId="77777777" w:rsidR="00326384" w:rsidRPr="002C4078" w:rsidRDefault="00326384" w:rsidP="00D25476">
      <w:pPr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469E5F14" w:rsidR="00326384" w:rsidRPr="00D25476" w:rsidRDefault="005A163B" w:rsidP="00326384">
      <w:pPr>
        <w:rPr>
          <w:rFonts w:ascii="Tahoma" w:hAnsi="Tahoma" w:cs="Tahoma"/>
          <w:color w:val="000000"/>
          <w:sz w:val="16"/>
          <w:szCs w:val="16"/>
        </w:rPr>
      </w:pPr>
      <w:r w:rsidRPr="00D25476">
        <w:rPr>
          <w:rFonts w:ascii="Tahoma" w:hAnsi="Tahoma" w:cs="Tahoma"/>
          <w:color w:val="000000"/>
          <w:sz w:val="16"/>
          <w:szCs w:val="16"/>
        </w:rPr>
        <w:t xml:space="preserve">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D25476">
        <w:rPr>
          <w:rFonts w:ascii="Tahoma" w:hAnsi="Tahoma" w:cs="Tahoma"/>
          <w:color w:val="000000"/>
          <w:sz w:val="16"/>
          <w:szCs w:val="16"/>
        </w:rPr>
        <w:t>Data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D25476">
        <w:rPr>
          <w:rFonts w:ascii="Tahoma" w:hAnsi="Tahoma" w:cs="Tahoma"/>
          <w:color w:val="000000"/>
          <w:sz w:val="16"/>
          <w:szCs w:val="16"/>
        </w:rPr>
        <w:t xml:space="preserve">                     </w:t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Podpis</w:t>
      </w:r>
    </w:p>
    <w:p w14:paraId="09E60F35" w14:textId="77777777" w:rsidR="00326384" w:rsidRPr="00D25476" w:rsidRDefault="00326384" w:rsidP="00326384">
      <w:pPr>
        <w:rPr>
          <w:rFonts w:ascii="Tahoma" w:hAnsi="Tahoma" w:cs="Tahoma"/>
          <w:color w:val="000000"/>
          <w:sz w:val="16"/>
          <w:szCs w:val="16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C9668F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1" w:name="_Hlk519078534"/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2</w:t>
      </w:r>
    </w:p>
    <w:p w14:paraId="2AEB5931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C9668F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5</w:t>
      </w:r>
    </w:p>
    <w:p w14:paraId="303781F3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25476">
        <w:rPr>
          <w:rFonts w:ascii="Tahoma" w:hAnsi="Tahoma" w:cs="Tahoma"/>
          <w:b/>
          <w:color w:val="000000"/>
          <w:sz w:val="20"/>
          <w:szCs w:val="20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C9668F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9414" w14:textId="77777777" w:rsidR="00C9668F" w:rsidRDefault="00C9668F" w:rsidP="00C247D5">
      <w:r>
        <w:separator/>
      </w:r>
    </w:p>
  </w:endnote>
  <w:endnote w:type="continuationSeparator" w:id="0">
    <w:p w14:paraId="20FE47BC" w14:textId="77777777" w:rsidR="00C9668F" w:rsidRDefault="00C9668F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5CA6" w14:textId="77777777" w:rsidR="00C9668F" w:rsidRDefault="00C9668F" w:rsidP="00C247D5">
      <w:r>
        <w:separator/>
      </w:r>
    </w:p>
  </w:footnote>
  <w:footnote w:type="continuationSeparator" w:id="0">
    <w:p w14:paraId="16C58443" w14:textId="77777777" w:rsidR="00C9668F" w:rsidRDefault="00C9668F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2C4078"/>
    <w:rsid w:val="00326384"/>
    <w:rsid w:val="004640E8"/>
    <w:rsid w:val="00506E8F"/>
    <w:rsid w:val="005A163B"/>
    <w:rsid w:val="00720EE9"/>
    <w:rsid w:val="00722244"/>
    <w:rsid w:val="007D4602"/>
    <w:rsid w:val="008A515F"/>
    <w:rsid w:val="009151CA"/>
    <w:rsid w:val="009C58D1"/>
    <w:rsid w:val="00BC63FC"/>
    <w:rsid w:val="00BE357A"/>
    <w:rsid w:val="00C247D5"/>
    <w:rsid w:val="00C9668F"/>
    <w:rsid w:val="00D25476"/>
    <w:rsid w:val="00EB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10</cp:revision>
  <cp:lastPrinted>2023-12-04T07:28:00Z</cp:lastPrinted>
  <dcterms:created xsi:type="dcterms:W3CDTF">2023-06-15T05:17:00Z</dcterms:created>
  <dcterms:modified xsi:type="dcterms:W3CDTF">2024-02-06T08:58:00Z</dcterms:modified>
</cp:coreProperties>
</file>