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0D0103">
        <w:rPr>
          <w:rFonts w:ascii="Tahoma" w:eastAsia="Times New Roman" w:hAnsi="Tahoma" w:cs="Tahoma"/>
          <w:bCs/>
          <w:sz w:val="20"/>
          <w:szCs w:val="20"/>
          <w:lang w:eastAsia="pl-PL"/>
        </w:rPr>
        <w:t>36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FC3586">
        <w:rPr>
          <w:rFonts w:ascii="Tahoma" w:eastAsia="Times New Roman" w:hAnsi="Tahoma" w:cs="Tahoma"/>
          <w:sz w:val="20"/>
          <w:szCs w:val="20"/>
          <w:lang w:eastAsia="pl-PL"/>
        </w:rPr>
        <w:t>ultrasonografów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24.05.2023r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FC3586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FC3586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563C" w:rsidRDefault="0080563C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0D0103" w:rsidRPr="00071AFF">
        <w:rPr>
          <w:rFonts w:ascii="Tahoma" w:hAnsi="Tahoma" w:cs="Tahoma"/>
          <w:color w:val="000000"/>
          <w:sz w:val="20"/>
          <w:szCs w:val="20"/>
        </w:rPr>
        <w:t>ultrasonograf</w:t>
      </w:r>
      <w:r w:rsidR="00071AFF" w:rsidRPr="00071AFF">
        <w:rPr>
          <w:rFonts w:ascii="Tahoma" w:hAnsi="Tahoma" w:cs="Tahoma"/>
          <w:color w:val="000000"/>
          <w:sz w:val="20"/>
          <w:szCs w:val="20"/>
        </w:rPr>
        <w:t>ów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</w:t>
      </w:r>
      <w:r w:rsidR="006671F7">
        <w:rPr>
          <w:rFonts w:ascii="Tahoma" w:hAnsi="Tahoma" w:cs="Tahoma"/>
          <w:sz w:val="20"/>
          <w:szCs w:val="20"/>
        </w:rPr>
        <w:t xml:space="preserve">(dotyczy </w:t>
      </w:r>
      <w:r w:rsidR="006671F7" w:rsidRPr="00766FFD">
        <w:rPr>
          <w:rFonts w:ascii="Tahoma" w:hAnsi="Tahoma" w:cs="Tahoma"/>
          <w:sz w:val="20"/>
          <w:szCs w:val="20"/>
        </w:rPr>
        <w:t>pakietów 1-</w:t>
      </w:r>
      <w:r w:rsidR="00385DF4" w:rsidRPr="00766FFD">
        <w:rPr>
          <w:rFonts w:ascii="Tahoma" w:hAnsi="Tahoma" w:cs="Tahoma"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sz w:val="20"/>
          <w:szCs w:val="20"/>
        </w:rPr>
        <w:t>9</w:t>
      </w:r>
      <w:r w:rsidR="006671F7" w:rsidRPr="00766FFD">
        <w:rPr>
          <w:rFonts w:ascii="Tahoma" w:hAnsi="Tahoma" w:cs="Tahoma"/>
          <w:sz w:val="20"/>
          <w:szCs w:val="20"/>
        </w:rPr>
        <w:t xml:space="preserve">) </w:t>
      </w:r>
      <w:r w:rsidR="003E739A" w:rsidRPr="00766FFD">
        <w:rPr>
          <w:rFonts w:ascii="Tahoma" w:hAnsi="Tahoma" w:cs="Tahoma"/>
          <w:sz w:val="20"/>
          <w:szCs w:val="20"/>
        </w:rPr>
        <w:t xml:space="preserve">i bieżących </w:t>
      </w:r>
      <w:r w:rsidR="006671F7" w:rsidRPr="00766FFD">
        <w:rPr>
          <w:rFonts w:ascii="Tahoma" w:hAnsi="Tahoma" w:cs="Tahoma"/>
          <w:sz w:val="20"/>
          <w:szCs w:val="20"/>
        </w:rPr>
        <w:t>napraw (dotyczy pakietu 10</w:t>
      </w:r>
      <w:r w:rsidR="000D42A5" w:rsidRPr="00766FFD">
        <w:rPr>
          <w:rFonts w:ascii="Tahoma" w:hAnsi="Tahoma" w:cs="Tahoma"/>
          <w:sz w:val="20"/>
          <w:szCs w:val="20"/>
        </w:rPr>
        <w:t>-11</w:t>
      </w:r>
      <w:r w:rsidR="006671F7" w:rsidRPr="00766FFD">
        <w:rPr>
          <w:rFonts w:ascii="Tahoma" w:hAnsi="Tahoma" w:cs="Tahoma"/>
          <w:sz w:val="20"/>
          <w:szCs w:val="20"/>
        </w:rPr>
        <w:t>)</w:t>
      </w:r>
      <w:r w:rsidR="003E739A" w:rsidRPr="00766FFD">
        <w:rPr>
          <w:rFonts w:ascii="Tahoma" w:hAnsi="Tahoma" w:cs="Tahoma"/>
          <w:sz w:val="20"/>
          <w:szCs w:val="20"/>
        </w:rPr>
        <w:t xml:space="preserve"> tj. utrzymania w pełnej sprawności</w:t>
      </w:r>
      <w:r w:rsidR="003E739A">
        <w:rPr>
          <w:rFonts w:ascii="Tahoma" w:hAnsi="Tahoma" w:cs="Tahoma"/>
          <w:sz w:val="20"/>
          <w:szCs w:val="20"/>
        </w:rPr>
        <w:t xml:space="preserve"> techniczno - eksploatacyjnej aparatury </w:t>
      </w:r>
      <w:r w:rsidR="00A06D65">
        <w:rPr>
          <w:rFonts w:ascii="Tahoma" w:hAnsi="Tahoma" w:cs="Tahoma"/>
          <w:sz w:val="20"/>
          <w:szCs w:val="20"/>
        </w:rPr>
        <w:t>ultrasonograficznej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4.1-4.</w:t>
      </w:r>
      <w:r w:rsidR="00B141B3">
        <w:rPr>
          <w:rFonts w:ascii="Tahoma" w:hAnsi="Tahoma" w:cs="Tahoma"/>
          <w:sz w:val="20"/>
          <w:szCs w:val="20"/>
        </w:rPr>
        <w:t>1</w:t>
      </w:r>
      <w:r w:rsidR="00041755">
        <w:rPr>
          <w:rFonts w:ascii="Tahoma" w:hAnsi="Tahoma" w:cs="Tahoma"/>
          <w:sz w:val="20"/>
          <w:szCs w:val="20"/>
        </w:rPr>
        <w:t>1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Pr="00766FFD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   </w:t>
      </w:r>
      <w:r w:rsidRPr="00766FFD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</w:t>
      </w:r>
      <w:r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(</w:t>
      </w:r>
      <w:r w:rsidR="00B141B3" w:rsidRPr="00766FFD">
        <w:rPr>
          <w:rFonts w:ascii="Tahoma" w:hAnsi="Tahoma" w:cs="Tahoma"/>
          <w:bCs/>
          <w:sz w:val="20"/>
          <w:szCs w:val="20"/>
        </w:rPr>
        <w:t>Hitachi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>(</w:t>
      </w:r>
      <w:r w:rsidR="00B141B3" w:rsidRPr="00766FFD">
        <w:rPr>
          <w:rFonts w:ascii="Tahoma" w:hAnsi="Tahoma" w:cs="Tahoma"/>
          <w:sz w:val="20"/>
          <w:szCs w:val="20"/>
        </w:rPr>
        <w:t>L</w:t>
      </w:r>
      <w:r w:rsidR="00485474" w:rsidRPr="00766FFD">
        <w:rPr>
          <w:rFonts w:ascii="Tahoma" w:hAnsi="Tahoma" w:cs="Tahoma"/>
          <w:sz w:val="20"/>
          <w:szCs w:val="20"/>
        </w:rPr>
        <w:t>igota)</w:t>
      </w:r>
      <w:r w:rsidRPr="00766FFD">
        <w:rPr>
          <w:rFonts w:ascii="Tahoma" w:hAnsi="Tahoma" w:cs="Tahoma"/>
          <w:sz w:val="20"/>
          <w:szCs w:val="20"/>
        </w:rPr>
        <w:t xml:space="preserve">  </w:t>
      </w:r>
    </w:p>
    <w:p w:rsidR="003E739A" w:rsidRPr="00766FFD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sz w:val="20"/>
          <w:szCs w:val="20"/>
        </w:rPr>
        <w:t xml:space="preserve">           Pakiet   2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GE  </w:t>
      </w:r>
      <w:proofErr w:type="spellStart"/>
      <w:r w:rsidR="00B141B3" w:rsidRPr="00766FFD">
        <w:rPr>
          <w:rFonts w:ascii="Tahoma" w:hAnsi="Tahoma" w:cs="Tahoma"/>
          <w:bCs/>
          <w:sz w:val="20"/>
          <w:szCs w:val="20"/>
        </w:rPr>
        <w:t>Medical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 xml:space="preserve">(Ligota) </w:t>
      </w:r>
    </w:p>
    <w:p w:rsidR="00B141B3" w:rsidRPr="00766FFD" w:rsidRDefault="00B141B3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3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Mindray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 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4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Pr="00766FFD">
        <w:rPr>
          <w:rFonts w:ascii="Tahoma" w:hAnsi="Tahoma" w:cs="Tahoma"/>
          <w:bCs/>
          <w:sz w:val="20"/>
          <w:szCs w:val="20"/>
        </w:rPr>
        <w:t>Philips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5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C33C8A" w:rsidRPr="00766FFD">
        <w:rPr>
          <w:rFonts w:ascii="Tahoma" w:hAnsi="Tahoma" w:cs="Tahoma"/>
          <w:bCs/>
          <w:sz w:val="20"/>
          <w:szCs w:val="20"/>
        </w:rPr>
        <w:t>Siemens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6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Esaote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7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Pr="00766FFD">
        <w:rPr>
          <w:rFonts w:ascii="Tahoma" w:hAnsi="Tahoma" w:cs="Tahoma"/>
          <w:bCs/>
          <w:sz w:val="20"/>
          <w:szCs w:val="20"/>
        </w:rPr>
        <w:t xml:space="preserve">GE 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Medical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bCs/>
          <w:sz w:val="20"/>
          <w:szCs w:val="20"/>
        </w:rPr>
        <w:t>(Ceglana)</w:t>
      </w:r>
    </w:p>
    <w:p w:rsidR="00485474" w:rsidRPr="00766FFD" w:rsidRDefault="00B141B3" w:rsidP="00485474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8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Pr="00766FFD">
        <w:rPr>
          <w:rFonts w:ascii="Tahoma" w:hAnsi="Tahoma" w:cs="Tahoma"/>
          <w:bCs/>
          <w:sz w:val="20"/>
          <w:szCs w:val="20"/>
        </w:rPr>
        <w:t>Hitachi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485474" w:rsidRPr="00766FFD">
        <w:rPr>
          <w:rFonts w:ascii="Tahoma" w:hAnsi="Tahoma" w:cs="Tahoma"/>
          <w:bCs/>
          <w:sz w:val="20"/>
          <w:szCs w:val="20"/>
        </w:rPr>
        <w:t xml:space="preserve">  (Ceglana)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9</w:t>
      </w:r>
      <w:r w:rsidR="00485474"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="00485474" w:rsidRPr="00766FFD">
        <w:rPr>
          <w:rFonts w:ascii="Tahoma" w:hAnsi="Tahoma" w:cs="Tahoma"/>
          <w:bCs/>
          <w:sz w:val="20"/>
          <w:szCs w:val="20"/>
        </w:rPr>
        <w:t>Mindray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485474" w:rsidRPr="00766FFD">
        <w:rPr>
          <w:rFonts w:ascii="Tahoma" w:hAnsi="Tahoma" w:cs="Tahoma"/>
          <w:bCs/>
          <w:sz w:val="20"/>
          <w:szCs w:val="20"/>
        </w:rPr>
        <w:t xml:space="preserve">  (Ceglana)</w:t>
      </w:r>
    </w:p>
    <w:p w:rsidR="00B141B3" w:rsidRPr="00766FFD" w:rsidRDefault="00B141B3" w:rsidP="00B141B3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Pakiet  </w:t>
      </w:r>
      <w:r w:rsidR="00766FFD">
        <w:rPr>
          <w:rFonts w:ascii="Tahoma" w:hAnsi="Tahoma" w:cs="Tahoma"/>
          <w:bCs/>
          <w:sz w:val="20"/>
          <w:szCs w:val="20"/>
        </w:rPr>
        <w:t xml:space="preserve"> </w:t>
      </w:r>
      <w:r w:rsidRPr="00766FFD">
        <w:rPr>
          <w:rFonts w:ascii="Tahoma" w:hAnsi="Tahoma" w:cs="Tahoma"/>
          <w:bCs/>
          <w:sz w:val="20"/>
          <w:szCs w:val="20"/>
        </w:rPr>
        <w:t>10</w:t>
      </w:r>
      <w:r w:rsidR="00485474"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="00485474" w:rsidRPr="00766FFD">
        <w:rPr>
          <w:rFonts w:ascii="Tahoma" w:hAnsi="Tahoma" w:cs="Tahoma"/>
          <w:bCs/>
          <w:sz w:val="20"/>
          <w:szCs w:val="20"/>
        </w:rPr>
        <w:t>Arietta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485474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766FFD" w:rsidRPr="00766FFD" w:rsidRDefault="00766FFD" w:rsidP="00766FFD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</w:t>
      </w:r>
      <w:r w:rsidR="000D42A5" w:rsidRPr="00766FFD">
        <w:rPr>
          <w:rFonts w:ascii="Tahoma" w:hAnsi="Tahoma" w:cs="Tahoma"/>
          <w:bCs/>
          <w:sz w:val="20"/>
          <w:szCs w:val="20"/>
        </w:rPr>
        <w:t xml:space="preserve">Pakiet   11  Obsługa serwisowa aparatury ultrasonograficznej </w:t>
      </w:r>
      <w:r w:rsidRPr="00766FFD">
        <w:rPr>
          <w:rFonts w:ascii="Tahoma" w:hAnsi="Tahoma" w:cs="Tahoma"/>
          <w:bCs/>
          <w:sz w:val="20"/>
          <w:szCs w:val="20"/>
        </w:rPr>
        <w:t>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prod</w:t>
      </w:r>
      <w:proofErr w:type="spellEnd"/>
      <w:r w:rsidRPr="00766FFD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Cannon</w:t>
      </w:r>
      <w:proofErr w:type="spellEnd"/>
      <w:r w:rsidRPr="00766FFD">
        <w:rPr>
          <w:rFonts w:ascii="Tahoma" w:hAnsi="Tahoma" w:cs="Tahoma"/>
          <w:bCs/>
          <w:sz w:val="20"/>
          <w:szCs w:val="20"/>
        </w:rPr>
        <w:t xml:space="preserve"> dawniej  Toshiba)                              </w:t>
      </w:r>
    </w:p>
    <w:p w:rsidR="00B141B3" w:rsidRPr="00766FFD" w:rsidRDefault="00766FFD" w:rsidP="003E739A">
      <w:pPr>
        <w:pStyle w:val="Bezodstpw"/>
        <w:rPr>
          <w:rFonts w:ascii="Tahoma" w:hAnsi="Tahoma" w:cs="Tahoma"/>
          <w:b/>
          <w:bCs/>
          <w:sz w:val="20"/>
          <w:szCs w:val="20"/>
        </w:rPr>
      </w:pPr>
      <w:r w:rsidRPr="00766FFD">
        <w:rPr>
          <w:rFonts w:ascii="Tahoma" w:hAnsi="Tahoma" w:cs="Tahoma"/>
          <w:b/>
          <w:bCs/>
          <w:sz w:val="20"/>
          <w:szCs w:val="20"/>
        </w:rPr>
        <w:t xml:space="preserve">                              </w:t>
      </w:r>
      <w:r w:rsidR="000D42A5" w:rsidRPr="00766FFD">
        <w:rPr>
          <w:rFonts w:ascii="Tahoma" w:hAnsi="Tahoma" w:cs="Tahoma"/>
          <w:bCs/>
          <w:sz w:val="20"/>
          <w:szCs w:val="20"/>
        </w:rPr>
        <w:t xml:space="preserve">(Ceglana)  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485474" w:rsidRPr="00766FFD">
        <w:rPr>
          <w:rFonts w:ascii="Tahoma" w:hAnsi="Tahoma" w:cs="Tahoma"/>
          <w:bCs/>
          <w:sz w:val="20"/>
          <w:szCs w:val="20"/>
        </w:rPr>
        <w:t>1</w:t>
      </w:r>
      <w:r w:rsidR="000D42A5" w:rsidRPr="00766FFD">
        <w:rPr>
          <w:rFonts w:ascii="Tahoma" w:hAnsi="Tahoma" w:cs="Tahoma"/>
          <w:bCs/>
          <w:sz w:val="20"/>
          <w:szCs w:val="20"/>
        </w:rPr>
        <w:t>1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485474" w:rsidRPr="00766FFD">
        <w:rPr>
          <w:rFonts w:ascii="Tahoma" w:hAnsi="Tahoma" w:cs="Tahoma"/>
          <w:bCs/>
          <w:sz w:val="20"/>
          <w:szCs w:val="20"/>
        </w:rPr>
        <w:t>ów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AA53F5" w:rsidRPr="000D42A5" w:rsidRDefault="00DE661F" w:rsidP="00574C6C">
      <w:pPr>
        <w:keepNext/>
        <w:spacing w:after="0"/>
        <w:ind w:left="284"/>
        <w:jc w:val="both"/>
        <w:rPr>
          <w:rFonts w:eastAsia="Times New Roman"/>
          <w:bCs/>
          <w:color w:val="FF000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</w:rPr>
        <w:t>24 miesiące od dnia zawarcia umowy</w:t>
      </w:r>
      <w:r w:rsidR="000D42A5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D42A5" w:rsidRPr="00756736">
        <w:rPr>
          <w:rFonts w:ascii="Tahoma" w:eastAsia="Times New Roman" w:hAnsi="Tahoma" w:cs="Tahoma"/>
          <w:bCs/>
          <w:sz w:val="20"/>
          <w:szCs w:val="20"/>
        </w:rPr>
        <w:t>(w przypadku pakietu 11 – 24 miesięcy od terminu określonego w formularzu asortymentowo-cenowym)</w:t>
      </w:r>
      <w:r w:rsidRPr="00756736">
        <w:rPr>
          <w:rFonts w:ascii="Tahoma" w:eastAsia="Times New Roman" w:hAnsi="Tahoma" w:cs="Tahoma"/>
          <w:bCs/>
          <w:sz w:val="20"/>
          <w:szCs w:val="20"/>
        </w:rPr>
        <w:t>.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A515F1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515F1">
        <w:t xml:space="preserve"> </w:t>
      </w:r>
      <w:r w:rsidRPr="00A515F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A515F1">
        <w:rPr>
          <w:rFonts w:ascii="Tahoma" w:hAnsi="Tahoma" w:cs="Tahoma"/>
          <w:sz w:val="20"/>
          <w:szCs w:val="20"/>
        </w:rPr>
        <w:t>(Dz.U.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>. Dz.U.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lastRenderedPageBreak/>
        <w:t>listę rozstrzygającej o zastosowaniu środka, o którym mowa w art. 1 pkt 3 ww. ustawy.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pkt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6736">
        <w:rPr>
          <w:rFonts w:ascii="Tahoma" w:hAnsi="Tahoma" w:cs="Tahoma"/>
          <w:sz w:val="20"/>
          <w:szCs w:val="20"/>
        </w:rPr>
        <w:t>6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lastRenderedPageBreak/>
        <w:t>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lastRenderedPageBreak/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756736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56736" w:rsidRPr="00756736">
        <w:rPr>
          <w:rFonts w:ascii="Tahoma" w:eastAsia="Times New Roman" w:hAnsi="Tahoma" w:cs="Tahoma"/>
          <w:b/>
          <w:sz w:val="20"/>
          <w:szCs w:val="20"/>
          <w:lang w:eastAsia="pl-PL"/>
        </w:rPr>
        <w:t>30.06.2023r.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4.1- 4.1</w:t>
      </w:r>
      <w:r w:rsidR="000D42A5" w:rsidRPr="0075673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 osobno do zaoferowanych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pakietów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).</w:t>
      </w:r>
    </w:p>
    <w:p w:rsidR="0042401F" w:rsidRPr="0042401F" w:rsidRDefault="0042401F" w:rsidP="0042401F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dla osób, które będą wykonywały usługi konserwacji, przeglądów  i napraw - </w:t>
      </w:r>
      <w:r w:rsidRPr="0042401F">
        <w:rPr>
          <w:rFonts w:ascii="Tahoma" w:hAnsi="Tahoma"/>
          <w:sz w:val="20"/>
          <w:szCs w:val="20"/>
          <w:u w:val="single"/>
        </w:rPr>
        <w:t>dotyczy pakietu  10</w:t>
      </w:r>
      <w:r w:rsidR="00756736">
        <w:rPr>
          <w:rFonts w:ascii="Tahoma" w:hAnsi="Tahoma"/>
          <w:sz w:val="20"/>
          <w:szCs w:val="20"/>
          <w:u w:val="single"/>
        </w:rPr>
        <w:t xml:space="preserve"> i 11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42401F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736" w:rsidRPr="0075673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01.06</w:t>
      </w:r>
      <w:r w:rsidR="00756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24E9" w:rsidRPr="0075673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2023r.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 w:rsidRPr="0075673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01.06</w:t>
      </w:r>
      <w:r w:rsidR="005924E9" w:rsidRPr="0075673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.2023r.</w:t>
      </w:r>
      <w:r w:rsidR="005924E9"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B76CA4" w:rsidRDefault="0048757F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756736" w:rsidRDefault="00756736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56736" w:rsidRDefault="00756736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56736" w:rsidRPr="00756736" w:rsidRDefault="00756736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="005808C2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-koszty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F33DC" w:rsidRPr="000F33DC" w:rsidRDefault="000F33DC" w:rsidP="005B1730">
      <w:pPr>
        <w:jc w:val="both"/>
        <w:rPr>
          <w:rFonts w:ascii="Tahoma" w:eastAsia="Times New Roman" w:hAnsi="Tahoma"/>
          <w:b/>
          <w:bCs/>
          <w:sz w:val="20"/>
          <w:szCs w:val="20"/>
          <w:u w:val="single"/>
        </w:rPr>
      </w:pPr>
      <w:r w:rsidRPr="000F33DC">
        <w:rPr>
          <w:rFonts w:ascii="Tahoma" w:eastAsia="Times New Roman" w:hAnsi="Tahoma"/>
          <w:b/>
          <w:color w:val="000000"/>
          <w:sz w:val="20"/>
          <w:szCs w:val="20"/>
          <w:u w:val="single"/>
        </w:rPr>
        <w:t>DLA PAKIETÓW  1 - 9</w:t>
      </w:r>
    </w:p>
    <w:p w:rsidR="005B1730" w:rsidRDefault="000F33DC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  c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ena – </w:t>
      </w:r>
      <w:r w:rsidR="00CF499C">
        <w:rPr>
          <w:rFonts w:ascii="Tahoma" w:eastAsia="Times New Roman" w:hAnsi="Tahoma"/>
          <w:bCs/>
          <w:sz w:val="20"/>
          <w:szCs w:val="20"/>
        </w:rPr>
        <w:t>100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 %,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5B1730" w:rsidRDefault="000F33DC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 w:rsidRPr="000F33DC">
        <w:rPr>
          <w:rFonts w:ascii="Tahoma" w:eastAsia="Times New Roman" w:hAnsi="Tahoma"/>
          <w:b/>
          <w:bCs/>
          <w:i/>
          <w:sz w:val="20"/>
          <w:szCs w:val="20"/>
        </w:rPr>
        <w:t xml:space="preserve">                              </w:t>
      </w:r>
      <w:r w:rsidR="005B1730"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</w:t>
      </w:r>
      <w:r w:rsidR="004436B8">
        <w:rPr>
          <w:rFonts w:ascii="Tahoma" w:eastAsia="Times New Roman" w:hAnsi="Tahoma"/>
          <w:b/>
          <w:sz w:val="20"/>
          <w:szCs w:val="20"/>
          <w:u w:val="single"/>
        </w:rPr>
        <w:t>c</w:t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ena  (C) </w:t>
      </w:r>
      <w:r w:rsidRPr="00833BC3">
        <w:rPr>
          <w:rFonts w:ascii="Tahoma" w:eastAsia="Times New Roman" w:hAnsi="Tahoma"/>
          <w:b/>
          <w:sz w:val="20"/>
          <w:szCs w:val="20"/>
        </w:rPr>
        <w:t xml:space="preserve">– waga </w:t>
      </w:r>
      <w:r w:rsidR="00E10A48">
        <w:rPr>
          <w:rFonts w:ascii="Tahoma" w:eastAsia="Times New Roman" w:hAnsi="Tahoma"/>
          <w:b/>
          <w:sz w:val="20"/>
          <w:szCs w:val="20"/>
        </w:rPr>
        <w:t>10</w:t>
      </w:r>
      <w:r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</w:t>
      </w:r>
      <w:r w:rsidR="000F33DC">
        <w:rPr>
          <w:rFonts w:ascii="Tahoma" w:eastAsia="Times New Roman" w:hAnsi="Tahoma"/>
          <w:bCs/>
          <w:sz w:val="20"/>
          <w:szCs w:val="20"/>
        </w:rPr>
        <w:t>c</w:t>
      </w:r>
      <w:r w:rsidR="00833BC3">
        <w:rPr>
          <w:rFonts w:ascii="Tahoma" w:eastAsia="Times New Roman" w:hAnsi="Tahoma"/>
          <w:bCs/>
          <w:sz w:val="20"/>
          <w:szCs w:val="20"/>
        </w:rPr>
        <w:t>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</w:p>
    <w:p w:rsidR="005B1730" w:rsidRDefault="005B1730" w:rsidP="000F33DC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sz w:val="20"/>
          <w:szCs w:val="20"/>
        </w:rPr>
        <w:t>Za najkorzystniejszą ofertę zostanie uznana oferta, która uzyskała łącznie najwyższą liczbę punktów</w:t>
      </w:r>
      <w:r w:rsidR="00E10A48">
        <w:rPr>
          <w:rFonts w:ascii="Tahoma" w:eastAsia="Times New Roman" w:hAnsi="Tahoma"/>
          <w:sz w:val="20"/>
          <w:szCs w:val="20"/>
        </w:rPr>
        <w:t>.</w:t>
      </w:r>
      <w:r>
        <w:rPr>
          <w:rFonts w:ascii="Tahoma" w:eastAsia="Times New Roman" w:hAnsi="Tahoma"/>
          <w:sz w:val="20"/>
          <w:szCs w:val="20"/>
        </w:rPr>
        <w:t xml:space="preserve"> </w:t>
      </w:r>
    </w:p>
    <w:p w:rsidR="000F33DC" w:rsidRDefault="000F33DC" w:rsidP="005B1730">
      <w:pPr>
        <w:autoSpaceDE w:val="0"/>
        <w:jc w:val="both"/>
        <w:rPr>
          <w:rFonts w:ascii="Tahoma" w:hAnsi="Tahoma"/>
          <w:b/>
          <w:color w:val="000000"/>
          <w:sz w:val="20"/>
          <w:szCs w:val="20"/>
          <w:u w:val="single"/>
        </w:rPr>
      </w:pPr>
      <w:bookmarkStart w:id="2" w:name="_Hlk135205178"/>
      <w:r w:rsidRPr="000F33DC">
        <w:rPr>
          <w:rFonts w:ascii="Tahoma" w:hAnsi="Tahoma"/>
          <w:b/>
          <w:color w:val="000000"/>
          <w:sz w:val="20"/>
          <w:szCs w:val="20"/>
          <w:u w:val="single"/>
        </w:rPr>
        <w:t xml:space="preserve">DLA PAKIETU </w:t>
      </w:r>
      <w:r w:rsidR="0042401F">
        <w:rPr>
          <w:rFonts w:ascii="Tahoma" w:hAnsi="Tahoma"/>
          <w:b/>
          <w:color w:val="000000"/>
          <w:sz w:val="20"/>
          <w:szCs w:val="20"/>
          <w:u w:val="single"/>
        </w:rPr>
        <w:t xml:space="preserve"> </w:t>
      </w:r>
      <w:r w:rsidRPr="000F33DC">
        <w:rPr>
          <w:rFonts w:ascii="Tahoma" w:hAnsi="Tahoma"/>
          <w:b/>
          <w:color w:val="000000"/>
          <w:sz w:val="20"/>
          <w:szCs w:val="20"/>
          <w:u w:val="single"/>
        </w:rPr>
        <w:t>10</w:t>
      </w:r>
      <w:r w:rsidR="00756736">
        <w:rPr>
          <w:rFonts w:ascii="Tahoma" w:hAnsi="Tahoma"/>
          <w:b/>
          <w:color w:val="000000"/>
          <w:sz w:val="20"/>
          <w:szCs w:val="20"/>
          <w:u w:val="single"/>
        </w:rPr>
        <w:t>-11</w:t>
      </w:r>
    </w:p>
    <w:bookmarkEnd w:id="2"/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  cena – 60 %,</w:t>
      </w:r>
    </w:p>
    <w:p w:rsidR="000F33DC" w:rsidRDefault="000F33DC" w:rsidP="000F33DC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>2)  kwalifikacje  personelu – 40%;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>– waga 60%</w:t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ramach kryterium „</w:t>
      </w:r>
      <w:r w:rsidR="004436B8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ena” ocena ofert zostanie dokonana przy zastosowaniu wzoru: </w:t>
      </w:r>
    </w:p>
    <w:p w:rsidR="00385DF4" w:rsidRDefault="00385DF4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</w:p>
    <w:p w:rsidR="000F33DC" w:rsidRDefault="000F33DC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x100  x 60 %</w:t>
      </w:r>
    </w:p>
    <w:p w:rsidR="000F33DC" w:rsidRDefault="000F33DC" w:rsidP="000F33DC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0F33DC" w:rsidRDefault="000F33DC" w:rsidP="00385DF4">
      <w:pPr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0F33DC" w:rsidRDefault="000F33DC" w:rsidP="000F33DC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60 punktów. 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Ad.2 kryterium   kwalifikacje  personelu  (</w:t>
      </w:r>
      <w:proofErr w:type="spellStart"/>
      <w:r>
        <w:rPr>
          <w:rFonts w:ascii="Tahoma" w:eastAsia="Times New Roman" w:hAnsi="Tahoma"/>
          <w:b/>
          <w:sz w:val="20"/>
          <w:szCs w:val="20"/>
        </w:rPr>
        <w:t>Kp</w:t>
      </w:r>
      <w:proofErr w:type="spellEnd"/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autoSpaceDE w:val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40 punktów.  Brak wskazania w formularzu ofertowym osób wyznaczonych do realizacji usługi oraz brak w/w certyfikatu będzie skutkował brakiem punktów w/w kryterium oceny ofert. Jeżeli </w:t>
      </w:r>
      <w:r w:rsidR="0042401F">
        <w:rPr>
          <w:rFonts w:ascii="Tahoma" w:eastAsia="Times New Roman" w:hAnsi="Tahoma"/>
          <w:bCs/>
          <w:sz w:val="20"/>
          <w:szCs w:val="20"/>
        </w:rPr>
        <w:t>W</w:t>
      </w:r>
      <w:r>
        <w:rPr>
          <w:rFonts w:ascii="Tahoma" w:eastAsia="Times New Roman" w:hAnsi="Tahoma"/>
          <w:bCs/>
          <w:sz w:val="20"/>
          <w:szCs w:val="20"/>
        </w:rPr>
        <w:t xml:space="preserve">ykonawca wymieni więcej niż jedną osobę spełniającą w/w. cechy, to oferta i tak otrzyma tylko 40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40 punktów. </w:t>
      </w:r>
    </w:p>
    <w:p w:rsidR="000F33DC" w:rsidRDefault="000F33DC" w:rsidP="000F33DC">
      <w:pPr>
        <w:autoSpaceDE w:val="0"/>
        <w:jc w:val="both"/>
        <w:rPr>
          <w:rFonts w:eastAsia="Times New Roman"/>
          <w:bCs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:rsidR="000F33DC" w:rsidRPr="004436B8" w:rsidRDefault="000F33DC" w:rsidP="004436B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4436B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0F33DC" w:rsidRDefault="0042401F" w:rsidP="000F33DC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bCs/>
          <w:sz w:val="20"/>
          <w:szCs w:val="20"/>
        </w:rPr>
        <w:t>Kp</w:t>
      </w:r>
      <w:r w:rsidR="000F33DC">
        <w:rPr>
          <w:rFonts w:ascii="Tahoma" w:eastAsia="Times New Roman" w:hAnsi="Tahoma"/>
          <w:bCs/>
          <w:sz w:val="20"/>
          <w:szCs w:val="20"/>
        </w:rPr>
        <w:t xml:space="preserve"> - liczba punktów przyznanych ocenianej ofercie w ramach kryterium kwalifikacje  personelu  </w:t>
      </w:r>
    </w:p>
    <w:p w:rsidR="000F33DC" w:rsidRPr="004436B8" w:rsidRDefault="000F33DC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lastRenderedPageBreak/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="00C73F2B">
        <w:rPr>
          <w:rFonts w:ascii="Tahoma" w:eastAsia="Cambria" w:hAnsi="Tahoma" w:cs="Tahoma"/>
          <w:sz w:val="20"/>
          <w:szCs w:val="20"/>
        </w:rPr>
        <w:t>( dla pakietów 1-9)  i 3a (dla pakietu 10</w:t>
      </w:r>
      <w:r w:rsidRPr="0078267A">
        <w:rPr>
          <w:rFonts w:ascii="Tahoma" w:eastAsia="Cambria" w:hAnsi="Tahoma" w:cs="Tahoma"/>
          <w:sz w:val="20"/>
          <w:szCs w:val="20"/>
        </w:rPr>
        <w:t>)</w:t>
      </w:r>
      <w:r w:rsidR="002A2684">
        <w:rPr>
          <w:rFonts w:ascii="Tahoma" w:eastAsia="Cambria" w:hAnsi="Tahoma" w:cs="Tahoma"/>
          <w:sz w:val="20"/>
          <w:szCs w:val="20"/>
        </w:rPr>
        <w:t xml:space="preserve"> </w:t>
      </w:r>
      <w:r w:rsidR="00756736">
        <w:rPr>
          <w:rFonts w:ascii="Tahoma" w:eastAsia="Cambria" w:hAnsi="Tahoma" w:cs="Tahoma"/>
          <w:sz w:val="20"/>
          <w:szCs w:val="20"/>
        </w:rPr>
        <w:t xml:space="preserve"> </w:t>
      </w:r>
      <w:r w:rsidR="002A2684">
        <w:rPr>
          <w:rFonts w:ascii="Tahoma" w:eastAsia="Cambria" w:hAnsi="Tahoma" w:cs="Tahoma"/>
          <w:sz w:val="20"/>
          <w:szCs w:val="20"/>
        </w:rPr>
        <w:t xml:space="preserve">i </w:t>
      </w:r>
      <w:r w:rsidR="002A2684" w:rsidRPr="00756736">
        <w:rPr>
          <w:rFonts w:ascii="Tahoma" w:eastAsia="Cambria" w:hAnsi="Tahoma" w:cs="Tahoma"/>
          <w:sz w:val="20"/>
          <w:szCs w:val="20"/>
        </w:rPr>
        <w:t>3b (dla pakietu 11)</w:t>
      </w:r>
      <w:r w:rsidR="002A2684" w:rsidRPr="002A2684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lastRenderedPageBreak/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741F79">
        <w:rPr>
          <w:rFonts w:ascii="Tahoma" w:eastAsia="Times New Roman" w:hAnsi="Tahoma" w:cs="Tahoma"/>
          <w:sz w:val="18"/>
          <w:szCs w:val="18"/>
          <w:lang w:eastAsia="ar-SA"/>
        </w:rPr>
        <w:t>pakiety 1-9</w:t>
      </w:r>
    </w:p>
    <w:p w:rsidR="00741F79" w:rsidRDefault="00741F79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3a 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Wzór umowy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pakiet  10</w:t>
      </w:r>
    </w:p>
    <w:p w:rsidR="00574C6C" w:rsidRPr="0078267A" w:rsidRDefault="00574C6C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3b wzór umowy pakiet   11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="00574C6C">
        <w:rPr>
          <w:rFonts w:ascii="Tahoma" w:eastAsia="Times New Roman" w:hAnsi="Tahoma" w:cs="Tahoma"/>
          <w:sz w:val="18"/>
          <w:szCs w:val="18"/>
          <w:lang w:eastAsia="ar-SA"/>
        </w:rPr>
        <w:t>1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5.</w:t>
      </w:r>
      <w:r w:rsidRPr="0078267A">
        <w:rPr>
          <w:rFonts w:ascii="Tahoma" w:hAnsi="Tahoma" w:cs="Tahoma"/>
          <w:sz w:val="18"/>
          <w:szCs w:val="18"/>
        </w:rPr>
        <w:t xml:space="preserve"> </w:t>
      </w:r>
      <w:r w:rsidRPr="0078267A">
        <w:rPr>
          <w:rStyle w:val="markedcontent"/>
          <w:rFonts w:ascii="Tahoma" w:hAnsi="Tahoma" w:cs="Tahoma"/>
          <w:sz w:val="18"/>
          <w:szCs w:val="18"/>
        </w:rPr>
        <w:t>Wzór umowy powierzenia przetwarzania danych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3" w:name="_Hlk98402935"/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>DZP.381.</w:t>
      </w:r>
      <w:r w:rsidR="000238DE" w:rsidRPr="000238DE">
        <w:rPr>
          <w:rFonts w:ascii="Tahoma" w:eastAsia="Calibri" w:hAnsi="Tahoma" w:cs="Tahoma"/>
          <w:sz w:val="20"/>
          <w:szCs w:val="20"/>
        </w:rPr>
        <w:t>36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4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ultrasonografów </w:t>
      </w:r>
      <w:bookmarkStart w:id="5" w:name="_Hlk502650441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p w:rsidR="000238DE" w:rsidRPr="000602F8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bookmarkStart w:id="6" w:name="_Hlk135205400"/>
      <w:bookmarkEnd w:id="4"/>
      <w:bookmarkEnd w:id="5"/>
      <w:r w:rsidRPr="000602F8">
        <w:rPr>
          <w:rFonts w:ascii="Tahoma" w:hAnsi="Tahoma"/>
          <w:b/>
          <w:bCs/>
          <w:sz w:val="20"/>
          <w:szCs w:val="20"/>
          <w:u w:val="single"/>
        </w:rPr>
        <w:t>DOTYCZY PAKIETU  10</w:t>
      </w:r>
      <w:r w:rsidR="000602F8" w:rsidRPr="000602F8">
        <w:rPr>
          <w:rFonts w:ascii="Tahoma" w:hAnsi="Tahoma"/>
          <w:b/>
          <w:bCs/>
          <w:sz w:val="20"/>
          <w:szCs w:val="20"/>
          <w:u w:val="single"/>
        </w:rPr>
        <w:t xml:space="preserve"> </w:t>
      </w:r>
    </w:p>
    <w:bookmarkEnd w:id="6"/>
    <w:p w:rsidR="000238DE" w:rsidRPr="000602F8" w:rsidRDefault="000238DE" w:rsidP="000238DE">
      <w:pPr>
        <w:suppressAutoHyphens/>
        <w:spacing w:after="0" w:line="240" w:lineRule="auto"/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bCs/>
          <w:sz w:val="20"/>
          <w:szCs w:val="20"/>
        </w:rPr>
        <w:t>Oświadczamy,</w:t>
      </w:r>
      <w:r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238DE" w:rsidRPr="000602F8" w:rsidRDefault="000238DE" w:rsidP="000238DE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238DE" w:rsidRPr="000602F8" w:rsidRDefault="000238DE" w:rsidP="000238DE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238DE" w:rsidRPr="000602F8" w:rsidRDefault="000238DE" w:rsidP="000238DE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238DE" w:rsidRPr="000602F8" w:rsidRDefault="000238DE" w:rsidP="000238DE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238DE" w:rsidRPr="000602F8" w:rsidRDefault="000238DE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238DE" w:rsidRPr="000602F8" w:rsidRDefault="000B7D56" w:rsidP="000602F8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="000238DE"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2A2684" w:rsidRPr="000602F8" w:rsidRDefault="002A2684" w:rsidP="000602F8">
      <w:pPr>
        <w:spacing w:line="240" w:lineRule="auto"/>
        <w:ind w:left="284" w:hanging="142"/>
        <w:jc w:val="both"/>
        <w:rPr>
          <w:rFonts w:ascii="Tahoma" w:hAnsi="Tahoma"/>
          <w:b/>
          <w:bCs/>
          <w:sz w:val="20"/>
          <w:szCs w:val="20"/>
          <w:u w:val="single"/>
        </w:rPr>
      </w:pPr>
      <w:r w:rsidRPr="000602F8">
        <w:rPr>
          <w:rFonts w:ascii="Tahoma" w:hAnsi="Tahoma"/>
          <w:b/>
          <w:bCs/>
          <w:sz w:val="20"/>
          <w:szCs w:val="20"/>
          <w:u w:val="single"/>
        </w:rPr>
        <w:t>DOTYCZY PAKIETU  1</w:t>
      </w:r>
      <w:r w:rsidR="000602F8" w:rsidRPr="000602F8">
        <w:rPr>
          <w:rFonts w:ascii="Tahoma" w:hAnsi="Tahoma"/>
          <w:b/>
          <w:bCs/>
          <w:sz w:val="20"/>
          <w:szCs w:val="20"/>
          <w:u w:val="single"/>
        </w:rPr>
        <w:t>1</w:t>
      </w:r>
    </w:p>
    <w:p w:rsidR="000602F8" w:rsidRPr="000602F8" w:rsidRDefault="000602F8" w:rsidP="000602F8">
      <w:pPr>
        <w:suppressAutoHyphens/>
        <w:spacing w:after="0" w:line="240" w:lineRule="auto"/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bCs/>
          <w:sz w:val="20"/>
          <w:szCs w:val="20"/>
        </w:rPr>
        <w:t>Oświadczamy,</w:t>
      </w:r>
      <w:r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602F8" w:rsidRPr="000602F8" w:rsidRDefault="000602F8" w:rsidP="000602F8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602F8" w:rsidRPr="000602F8" w:rsidRDefault="000602F8" w:rsidP="000602F8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602F8" w:rsidRPr="000602F8" w:rsidRDefault="000602F8" w:rsidP="000602F8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602F8" w:rsidRPr="000602F8" w:rsidRDefault="000602F8" w:rsidP="000602F8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602F8" w:rsidRPr="000602F8" w:rsidRDefault="000602F8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02F8" w:rsidRPr="000602F8" w:rsidRDefault="000602F8" w:rsidP="000602F8">
      <w:pPr>
        <w:spacing w:line="240" w:lineRule="auto"/>
        <w:ind w:left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602F8" w:rsidRPr="000602F8" w:rsidRDefault="000602F8" w:rsidP="000238DE">
      <w:pPr>
        <w:spacing w:line="240" w:lineRule="auto"/>
        <w:ind w:left="284"/>
        <w:jc w:val="both"/>
        <w:rPr>
          <w:rFonts w:ascii="Tahoma" w:hAnsi="Tahoma"/>
          <w:b/>
          <w:bCs/>
          <w:color w:val="548DD4" w:themeColor="text2" w:themeTint="99"/>
          <w:sz w:val="20"/>
          <w:szCs w:val="20"/>
          <w:u w:val="single"/>
        </w:rPr>
      </w:pP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>
        <w:rPr>
          <w:rFonts w:ascii="Tahoma" w:eastAsia="Times New Roman" w:hAnsi="Tahoma"/>
          <w:bCs/>
          <w:i/>
          <w:iCs/>
          <w:sz w:val="20"/>
          <w:szCs w:val="20"/>
        </w:rPr>
        <w:t xml:space="preserve">(podać nazwę </w:t>
      </w:r>
      <w:r>
        <w:rPr>
          <w:rFonts w:ascii="Tahoma" w:eastAsia="Times New Roman" w:hAnsi="Tahoma"/>
          <w:bCs/>
          <w:i/>
          <w:iCs/>
          <w:sz w:val="20"/>
          <w:szCs w:val="20"/>
        </w:rPr>
        <w:lastRenderedPageBreak/>
        <w:t>firmy)</w:t>
      </w:r>
      <w:r>
        <w:rPr>
          <w:rFonts w:ascii="Tahoma" w:eastAsia="Times New Roman" w:hAnsi="Tahoma"/>
          <w:bCs/>
          <w:sz w:val="20"/>
          <w:szCs w:val="20"/>
        </w:rPr>
        <w:t xml:space="preserve">  ……………………..……………… </w:t>
      </w:r>
      <w:r>
        <w:rPr>
          <w:rFonts w:ascii="Tahoma" w:eastAsia="Times New Roman" w:hAnsi="Tahoma"/>
          <w:bCs/>
          <w:i/>
          <w:sz w:val="20"/>
          <w:szCs w:val="20"/>
        </w:rPr>
        <w:t xml:space="preserve">(W przypadku nie wypełnienia podpunktu   </w:t>
      </w:r>
      <w:r>
        <w:rPr>
          <w:rFonts w:ascii="Tahoma" w:eastAsia="Times New Roman" w:hAnsi="Tahoma"/>
          <w:i/>
          <w:sz w:val="20"/>
          <w:szCs w:val="20"/>
        </w:rPr>
        <w:t>Zamawiający przyjmuje, iż Wykonawca nie zamierza powierzyć żadnej części zamówienia podwykonawcy)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7" w:name="_Hlk502650870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7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B16ACE" w:rsidRDefault="000238DE" w:rsidP="000238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02F8" w:rsidRDefault="000602F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36B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lastRenderedPageBreak/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8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0B7D56">
      <w:pPr>
        <w:numPr>
          <w:ilvl w:val="0"/>
          <w:numId w:val="86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0B7D56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3"/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0B7D56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0B3ECE" w:rsidRPr="000B3ECE" w:rsidRDefault="000B3ECE" w:rsidP="000B3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ECE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741F79">
        <w:rPr>
          <w:rFonts w:ascii="Times New Roman" w:eastAsia="Calibri" w:hAnsi="Times New Roman" w:cs="Times New Roman"/>
          <w:sz w:val="24"/>
          <w:szCs w:val="24"/>
        </w:rPr>
        <w:t>36</w:t>
      </w:r>
      <w:r w:rsidRPr="000B3ECE">
        <w:rPr>
          <w:rFonts w:ascii="Times New Roman" w:eastAsia="Calibri" w:hAnsi="Times New Roman" w:cs="Times New Roman"/>
          <w:sz w:val="24"/>
          <w:szCs w:val="24"/>
        </w:rPr>
        <w:t>B.2023</w:t>
      </w:r>
    </w:p>
    <w:p w:rsidR="000B3ECE" w:rsidRPr="000B3ECE" w:rsidRDefault="000602F8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B3ECE" w:rsidRPr="000B3ECE">
        <w:rPr>
          <w:rFonts w:ascii="Times New Roman" w:eastAsia="Calibri" w:hAnsi="Times New Roman" w:cs="Times New Roman"/>
          <w:sz w:val="24"/>
          <w:szCs w:val="24"/>
        </w:rPr>
        <w:t>Załącznik nr 5</w:t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B3ECE"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0B3ECE" w:rsidRPr="000B3ECE" w:rsidRDefault="000B3ECE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3ECE" w:rsidRPr="000B3ECE" w:rsidRDefault="000B3ECE" w:rsidP="000B3E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3ECE" w:rsidRPr="000B3ECE" w:rsidRDefault="000B3ECE" w:rsidP="000B3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E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Wzór</w:t>
      </w:r>
    </w:p>
    <w:p w:rsidR="000B3ECE" w:rsidRPr="000B3ECE" w:rsidRDefault="000B3ECE" w:rsidP="000B3EC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B3ECE" w:rsidRPr="000B3ECE" w:rsidRDefault="000B3ECE" w:rsidP="000B3ECE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0B3ECE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 xml:space="preserve">nr </w:t>
      </w:r>
      <w:r w:rsidRPr="000B3E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……………………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zawarta w dniu ...........................roku  w Katowicach  pomiędzy: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0B3ECE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oraz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0B3ECE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B3ECE">
        <w:rPr>
          <w:rFonts w:ascii="Calibri" w:eastAsia="Tahoma" w:hAnsi="Calibri" w:cs="Calibri"/>
          <w:b/>
          <w:bCs/>
          <w:kern w:val="3"/>
          <w:lang w:eastAsia="pl-PL"/>
        </w:rPr>
        <w:t xml:space="preserve">W związku z realizacją umowy nr </w:t>
      </w:r>
      <w:r w:rsidRPr="000B3ECE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………………….. 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0B3ECE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0B3ECE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 1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W trybie art. 28 </w:t>
      </w:r>
      <w:r w:rsidRPr="000B3ECE">
        <w:rPr>
          <w:rFonts w:ascii="Cambria" w:eastAsia="EUAlbertina," w:hAnsi="Cambria"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0B3ECE">
        <w:rPr>
          <w:rFonts w:ascii="Cambria" w:eastAsia="Cambria" w:hAnsi="Cambria" w:cs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0B3ECE" w:rsidRPr="000B3ECE" w:rsidRDefault="000B3ECE">
      <w:pPr>
        <w:numPr>
          <w:ilvl w:val="0"/>
          <w:numId w:val="6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oświadcza, iż stosuje środki bezpieczeństwa spełniające wymogi RODO.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F60CAE" w:rsidRDefault="00F60CA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§2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:rsidR="000B3ECE" w:rsidRPr="000B3ECE" w:rsidRDefault="000B3ECE">
      <w:pPr>
        <w:numPr>
          <w:ilvl w:val="0"/>
          <w:numId w:val="69"/>
        </w:numPr>
        <w:spacing w:after="160" w:line="259" w:lineRule="auto"/>
        <w:ind w:left="284" w:hanging="284"/>
        <w:contextualSpacing/>
        <w:jc w:val="both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będzie przetwarzał, powierzone na podstawie umowy dane, w tym dane szczególnej kategorii dotyczące zdrowia pacjentów oraz dane personelu, klientów i kontrahentów  Administratora, w postaci danych, zapisanych na elektronicznych nośnikach danych zamontowanych w urządzeniach stanowiących przedmiot najmu realizowanego w ramach umowy głównej.</w:t>
      </w:r>
    </w:p>
    <w:p w:rsidR="000B3ECE" w:rsidRPr="000B3ECE" w:rsidRDefault="000B3ECE">
      <w:pPr>
        <w:numPr>
          <w:ilvl w:val="0"/>
          <w:numId w:val="69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Powierzone przez Administratora  dane osobowe będą przetwarzane przez Procesora wyłącznie w celu  realizacji umowy głównej.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§3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0B3ECE">
        <w:rPr>
          <w:rFonts w:ascii="Cambria" w:eastAsia="Cambria" w:hAnsi="Cambria" w:cs="Calibri"/>
        </w:rPr>
        <w:br/>
        <w:t>z przetwarzaniem danych osobowych, o których mowa w art. 32 RODO.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dołożyć należytej staranności przy przetwarzaniu powierzonych danych osobowych.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nadania upoważnień do przetwarzania danych osobowych wszystkim osobom, które będą przetwarzały powierzone dane w celu realizacji niniejszej umowy.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nie będzie wykonywał kopii danych osobowych.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Po zakończeniu świadczenia usług związanych z przetwarzaniem Procesor trwale usuwa dane osobowe zapisane na elektronicznych nośnikach danych. Usunięcie to dokonywane jest</w:t>
      </w:r>
      <w:r w:rsidRPr="000B3ECE">
        <w:rPr>
          <w:rFonts w:ascii="Cambria" w:eastAsia="Cambria" w:hAnsi="Cambria" w:cs="Calibri"/>
        </w:rPr>
        <w:br/>
        <w:t>w sposób, który nie pozwala na odzyskanie danych przy wykorzystaniu aktualnie dostępnych środków technicznych.</w:t>
      </w:r>
    </w:p>
    <w:p w:rsidR="000B3ECE" w:rsidRPr="000602F8" w:rsidRDefault="000B3ECE" w:rsidP="000602F8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przypadku, gdy w trakcie realizacji świadczenia opisanego w umowie głównej zachodzi konieczność przeniesienia urządzeń posiadających nośniki zawierające dane osobowe poza obszar pomieszczeń zarządzanych przez Administratora (np. zabranie urządzenia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0602F8" w:rsidRPr="000B3ECE" w:rsidRDefault="000602F8" w:rsidP="000602F8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2" w:history="1">
        <w:r w:rsidRPr="000B3ECE">
          <w:rPr>
            <w:rFonts w:ascii="Cambria" w:eastAsia="Cambria" w:hAnsi="Cambria" w:cs="Calibri"/>
            <w:u w:val="single"/>
          </w:rPr>
          <w:t>iod@uck.katowice.pl</w:t>
        </w:r>
      </w:hyperlink>
      <w:r w:rsidRPr="000B3ECE">
        <w:rPr>
          <w:rFonts w:ascii="Cambria" w:eastAsia="Cambria" w:hAnsi="Cambria" w:cs="Calibri"/>
        </w:rPr>
        <w:t xml:space="preserve">. Zgłoszenie będzie zawierać, co najmniej informacje niezbędne dla wywiązania się przez Administratora z jego określonych w RODO obowiązków związanych z wystąpieniem naruszenia ochrony danych osobowych. Jeśli w zgłoszeniu, nie da się zawrzeć wszystkich </w:t>
      </w:r>
      <w:r w:rsidRPr="000B3ECE">
        <w:rPr>
          <w:rFonts w:ascii="Cambria" w:eastAsia="Cambria" w:hAnsi="Cambria" w:cs="Calibri"/>
        </w:rPr>
        <w:lastRenderedPageBreak/>
        <w:t>niezbędnych informacji, Procesor ma obowiązek udzielać ich sukcesywnie, bez zbędnej zwłoki.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0B3ECE">
        <w:rPr>
          <w:rFonts w:ascii="Cambria" w:eastAsia="EUAlbertina," w:hAnsi="Cambria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EUAlbertina," w:hAnsi="Cambria" w:cs="Calibri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0B3ECE" w:rsidRPr="000B3ECE" w:rsidRDefault="000B3ECE">
      <w:pPr>
        <w:numPr>
          <w:ilvl w:val="0"/>
          <w:numId w:val="76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§4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Administrator realizować będzie prawo kontroli w godzinach pracy Procesora i z minimum</w:t>
      </w:r>
      <w:r w:rsidRPr="000B3ECE">
        <w:rPr>
          <w:rFonts w:ascii="Cambria" w:eastAsia="Cambria" w:hAnsi="Cambria" w:cs="Calibri"/>
        </w:rPr>
        <w:br/>
        <w:t>3 dniowym jego uprzedzeniem.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usunięcia uchybień stwierdzonych podczas kontroli w terminie wskazanym przez Administratora danych nie dłuższym niż 7 dni.</w:t>
      </w:r>
    </w:p>
    <w:p w:rsidR="000B3ECE" w:rsidRPr="000B3ECE" w:rsidRDefault="000B3ECE">
      <w:pPr>
        <w:numPr>
          <w:ilvl w:val="0"/>
          <w:numId w:val="7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udostępnia Administratorowi wszelkie informacje niezbędne do wykazania spełnienia obowiązków określonych w art. 28 RODO.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§5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bookmarkStart w:id="9" w:name="_Hlk513452115"/>
      <w:bookmarkStart w:id="10" w:name="_Hlk513452096"/>
      <w:r w:rsidRPr="000B3ECE">
        <w:rPr>
          <w:rFonts w:ascii="Cambria" w:eastAsia="Cambria" w:hAnsi="Cambria"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9"/>
      <w:r w:rsidRPr="000B3ECE">
        <w:rPr>
          <w:rFonts w:ascii="Cambria" w:eastAsia="Cambria" w:hAnsi="Cambria" w:cs="Calibr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10"/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Przekazanie powierzonych danych do państwa trzeciego lub organizacji międzynarodowej może nastąpić jedynie na pisemne polecenie Administratora chyba, że obowiąze</w:t>
      </w:r>
      <w:r w:rsidR="000602F8">
        <w:rPr>
          <w:rFonts w:ascii="Cambria" w:eastAsia="Cambria" w:hAnsi="Cambria" w:cs="Calibri"/>
        </w:rPr>
        <w:t xml:space="preserve">k taki nakłada </w:t>
      </w:r>
      <w:r w:rsidRPr="000B3ECE">
        <w:rPr>
          <w:rFonts w:ascii="Cambria" w:eastAsia="Cambria" w:hAnsi="Cambria" w:cs="Calibri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 z uwagi na ważny interes publiczny.</w:t>
      </w:r>
    </w:p>
    <w:p w:rsidR="000B3ECE" w:rsidRPr="000B3ECE" w:rsidRDefault="000B3ECE">
      <w:pPr>
        <w:numPr>
          <w:ilvl w:val="0"/>
          <w:numId w:val="7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ponosi pełną odpowiedzialność wobec Administratora za nie wywiązanie się</w:t>
      </w:r>
      <w:r w:rsidRPr="000B3ECE">
        <w:rPr>
          <w:rFonts w:ascii="Cambria" w:eastAsia="Cambria" w:hAnsi="Cambria" w:cs="Calibri"/>
        </w:rPr>
        <w:br/>
        <w:t>z obowiązków związanych z ochroną danych przez podmiot, któremu powierzy dalsze przetwarzanie.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 6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:rsidR="000B3ECE" w:rsidRPr="000B3ECE" w:rsidRDefault="000B3ECE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jest odpowiedzialny za udostępnienie lub wykorzystanie danych osobowych niezgodnie z treścią umowy, a w szczególności za udostępnienie powierzonych do przetwarzania danych osobowych osobom nieupoważnionym.</w:t>
      </w:r>
    </w:p>
    <w:p w:rsidR="000B3ECE" w:rsidRPr="000B3ECE" w:rsidRDefault="000B3ECE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lastRenderedPageBreak/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Niniejszy ustęp dotyczy wyłącznie danych osobowych powierzonych przez Administratora.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§7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:rsidR="000B3ECE" w:rsidRPr="000B3ECE" w:rsidRDefault="000B3ECE">
      <w:pPr>
        <w:numPr>
          <w:ilvl w:val="0"/>
          <w:numId w:val="7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0B3ECE" w:rsidRPr="000B3ECE" w:rsidRDefault="000B3ECE">
      <w:pPr>
        <w:numPr>
          <w:ilvl w:val="0"/>
          <w:numId w:val="7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§8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:rsidR="000B3ECE" w:rsidRPr="000B3ECE" w:rsidRDefault="000B3ECE">
      <w:pPr>
        <w:numPr>
          <w:ilvl w:val="0"/>
          <w:numId w:val="7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Niniejsza umowa obowiązuje w okresie od dnia zawarcia umowy głównej do dnia zakończenia przez Procesora przetwarzania danych w zakresie wynikającym z realizacji umowy głównej.</w:t>
      </w:r>
    </w:p>
    <w:p w:rsidR="000B3ECE" w:rsidRPr="000B3ECE" w:rsidRDefault="000B3ECE">
      <w:pPr>
        <w:numPr>
          <w:ilvl w:val="0"/>
          <w:numId w:val="7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§9</w:t>
      </w:r>
    </w:p>
    <w:p w:rsidR="000B3ECE" w:rsidRPr="000B3ECE" w:rsidRDefault="000B3ECE" w:rsidP="000B3E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B3ECE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Umowa została sporządzona w dwóch jednobrzmiących egzemplarzach, po jednym dla każdej</w:t>
      </w:r>
      <w:r w:rsidRPr="000B3ECE">
        <w:rPr>
          <w:rFonts w:ascii="Cambria" w:eastAsia="Cambria" w:hAnsi="Cambria" w:cs="Calibri"/>
        </w:rPr>
        <w:br/>
        <w:t>ze stron.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>W sprawach nieuregulowanych zastosowanie będą miały przepisy RODO oraz innych przepisów prawa powszechnie obowiązującego.</w:t>
      </w:r>
    </w:p>
    <w:p w:rsidR="000B3ECE" w:rsidRPr="000B3ECE" w:rsidRDefault="000B3ECE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</w:rPr>
      </w:pPr>
      <w:r w:rsidRPr="000B3ECE">
        <w:rPr>
          <w:rFonts w:ascii="Cambria" w:eastAsia="Cambria" w:hAnsi="Cambria" w:cs="Calibri"/>
        </w:rPr>
        <w:t xml:space="preserve">Sądem właściwym dla rozpatrzenia sporów wynikających z niniejszej umowy będzie sąd właściwy określony w umowie głównej. </w:t>
      </w: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 w:rsidP="000B3ECE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0B3ECE" w:rsidRPr="000B3ECE" w:rsidRDefault="000B3ECE" w:rsidP="000B3E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t>….........................................</w:t>
      </w:r>
      <w:r w:rsidR="000602F8">
        <w:rPr>
          <w:rFonts w:ascii="Calibri" w:eastAsia="Tahoma" w:hAnsi="Calibri" w:cs="Calibri"/>
          <w:kern w:val="3"/>
          <w:lang w:eastAsia="pl-PL"/>
        </w:rPr>
        <w:t xml:space="preserve">                                </w:t>
      </w:r>
      <w:r w:rsidRPr="000B3ECE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0B3ECE">
        <w:rPr>
          <w:rFonts w:ascii="Calibri" w:eastAsia="Tahoma" w:hAnsi="Calibri" w:cs="Calibri"/>
          <w:kern w:val="3"/>
          <w:lang w:eastAsia="pl-PL"/>
        </w:rPr>
        <w:tab/>
      </w:r>
    </w:p>
    <w:p w:rsidR="000B3ECE" w:rsidRPr="000B3ECE" w:rsidRDefault="000602F8" w:rsidP="00741F79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>
        <w:rPr>
          <w:rFonts w:ascii="Calibri" w:eastAsia="Tahoma" w:hAnsi="Calibri" w:cs="Calibri"/>
          <w:kern w:val="3"/>
          <w:lang w:eastAsia="pl-PL"/>
        </w:rPr>
        <w:t xml:space="preserve">              </w:t>
      </w:r>
      <w:r w:rsidR="000B3ECE" w:rsidRPr="000B3ECE">
        <w:rPr>
          <w:rFonts w:ascii="Calibri" w:eastAsia="Tahoma" w:hAnsi="Calibri" w:cs="Calibri"/>
          <w:kern w:val="3"/>
          <w:lang w:eastAsia="pl-PL"/>
        </w:rPr>
        <w:t xml:space="preserve">  Procesor                                          </w:t>
      </w:r>
      <w:r w:rsidR="00741F79">
        <w:rPr>
          <w:rFonts w:ascii="Calibri" w:eastAsia="Tahoma" w:hAnsi="Calibri" w:cs="Calibri"/>
          <w:kern w:val="3"/>
          <w:lang w:eastAsia="pl-PL"/>
        </w:rPr>
        <w:t xml:space="preserve">             </w:t>
      </w:r>
      <w:r>
        <w:rPr>
          <w:rFonts w:ascii="Calibri" w:eastAsia="Tahoma" w:hAnsi="Calibri" w:cs="Calibri"/>
          <w:kern w:val="3"/>
          <w:lang w:eastAsia="pl-PL"/>
        </w:rPr>
        <w:t xml:space="preserve">                 </w:t>
      </w:r>
      <w:r w:rsidR="00741F79">
        <w:rPr>
          <w:rFonts w:ascii="Calibri" w:eastAsia="Tahoma" w:hAnsi="Calibri" w:cs="Calibri"/>
          <w:kern w:val="3"/>
          <w:lang w:eastAsia="pl-PL"/>
        </w:rPr>
        <w:t xml:space="preserve">   </w:t>
      </w:r>
      <w:r>
        <w:rPr>
          <w:rFonts w:ascii="Calibri" w:eastAsia="Tahoma" w:hAnsi="Calibri" w:cs="Calibri"/>
          <w:kern w:val="3"/>
          <w:lang w:eastAsia="pl-PL"/>
        </w:rPr>
        <w:t xml:space="preserve">                                        </w:t>
      </w:r>
      <w:r w:rsidR="00741F79">
        <w:rPr>
          <w:rFonts w:ascii="Calibri" w:eastAsia="Tahoma" w:hAnsi="Calibri" w:cs="Calibri"/>
          <w:kern w:val="3"/>
          <w:lang w:eastAsia="pl-PL"/>
        </w:rPr>
        <w:t>Administrator</w:t>
      </w:r>
    </w:p>
    <w:p w:rsidR="00F60CAE" w:rsidRDefault="00F60CAE" w:rsidP="00F60CAE">
      <w:pPr>
        <w:rPr>
          <w:rFonts w:ascii="Calibri" w:eastAsia="Tahoma" w:hAnsi="Calibri" w:cs="Calibri"/>
          <w:kern w:val="3"/>
          <w:lang w:eastAsia="pl-PL"/>
        </w:rPr>
      </w:pPr>
    </w:p>
    <w:p w:rsidR="000602F8" w:rsidRDefault="000602F8" w:rsidP="00F60CAE">
      <w:pPr>
        <w:rPr>
          <w:rFonts w:ascii="Calibri" w:eastAsia="Tahoma" w:hAnsi="Calibri" w:cs="Calibri"/>
          <w:kern w:val="3"/>
          <w:lang w:eastAsia="pl-PL"/>
        </w:rPr>
      </w:pPr>
    </w:p>
    <w:p w:rsidR="000602F8" w:rsidRDefault="000602F8" w:rsidP="00F60CAE">
      <w:pPr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F60CAE">
      <w:pPr>
        <w:jc w:val="right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Tahoma" w:hAnsi="Calibri" w:cs="Calibri"/>
          <w:kern w:val="3"/>
          <w:lang w:eastAsia="pl-PL"/>
        </w:rPr>
        <w:lastRenderedPageBreak/>
        <w:t>Załącznik do umowy nr ……………………………………… z dnia …...................</w:t>
      </w:r>
    </w:p>
    <w:p w:rsidR="000B3ECE" w:rsidRPr="000B3ECE" w:rsidRDefault="000B3ECE" w:rsidP="00F60C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F60CAE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 xml:space="preserve">Imienny wykaz osób upoważnionych przez  </w:t>
      </w:r>
      <w:r w:rsidRPr="000B3EC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:rsidR="000B3ECE" w:rsidRPr="000B3ECE" w:rsidRDefault="000B3ECE" w:rsidP="00F60CAE">
      <w:pPr>
        <w:widowControl w:val="0"/>
        <w:autoSpaceDN w:val="0"/>
        <w:spacing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Pr="000B3ECE">
        <w:rPr>
          <w:rFonts w:ascii="Calibri" w:eastAsia="Calibri" w:hAnsi="Calibri"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B3ECE" w:rsidRPr="000B3ECE" w:rsidTr="00A75B6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B3ECE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3ECE" w:rsidRPr="000B3ECE" w:rsidRDefault="000B3ECE" w:rsidP="000B3EC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:rsidR="000B3ECE" w:rsidRPr="000B3ECE" w:rsidRDefault="000B3ECE" w:rsidP="000B3ECE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0B3ECE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:rsidR="000B3ECE" w:rsidRPr="000B3ECE" w:rsidRDefault="000B3ECE" w:rsidP="000B3ECE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0B3ECE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:rsidR="000B3ECE" w:rsidRPr="000B3ECE" w:rsidRDefault="000B3ECE" w:rsidP="000B3ECE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0B3ECE" w:rsidRPr="000B3ECE" w:rsidRDefault="000B3ECE" w:rsidP="000B3ECE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:rsidR="000B3ECE" w:rsidRPr="000B3ECE" w:rsidRDefault="000B3ECE" w:rsidP="000B3EC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667C" w:rsidRPr="003A47D9" w:rsidRDefault="00BA667C" w:rsidP="00BA667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36" w:rsidRDefault="00756736" w:rsidP="00970FFE">
      <w:pPr>
        <w:spacing w:after="0" w:line="240" w:lineRule="auto"/>
      </w:pPr>
      <w:r>
        <w:separator/>
      </w:r>
    </w:p>
  </w:endnote>
  <w:endnote w:type="continuationSeparator" w:id="1">
    <w:p w:rsidR="00756736" w:rsidRDefault="0075673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36" w:rsidRDefault="00756736" w:rsidP="00970FFE">
      <w:pPr>
        <w:spacing w:after="0" w:line="240" w:lineRule="auto"/>
      </w:pPr>
      <w:r>
        <w:separator/>
      </w:r>
    </w:p>
  </w:footnote>
  <w:footnote w:type="continuationSeparator" w:id="1">
    <w:p w:rsidR="00756736" w:rsidRDefault="0075673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6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7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2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0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2"/>
  </w:num>
  <w:num w:numId="8">
    <w:abstractNumId w:val="52"/>
  </w:num>
  <w:num w:numId="9">
    <w:abstractNumId w:val="22"/>
  </w:num>
  <w:num w:numId="10">
    <w:abstractNumId w:val="36"/>
  </w:num>
  <w:num w:numId="11">
    <w:abstractNumId w:val="14"/>
  </w:num>
  <w:num w:numId="12">
    <w:abstractNumId w:val="73"/>
  </w:num>
  <w:num w:numId="13">
    <w:abstractNumId w:val="51"/>
  </w:num>
  <w:num w:numId="14">
    <w:abstractNumId w:val="66"/>
  </w:num>
  <w:num w:numId="15">
    <w:abstractNumId w:val="30"/>
  </w:num>
  <w:num w:numId="16">
    <w:abstractNumId w:val="28"/>
  </w:num>
  <w:num w:numId="17">
    <w:abstractNumId w:val="44"/>
  </w:num>
  <w:num w:numId="18">
    <w:abstractNumId w:val="37"/>
  </w:num>
  <w:num w:numId="19">
    <w:abstractNumId w:val="18"/>
  </w:num>
  <w:num w:numId="20">
    <w:abstractNumId w:val="47"/>
  </w:num>
  <w:num w:numId="21">
    <w:abstractNumId w:val="56"/>
  </w:num>
  <w:num w:numId="22">
    <w:abstractNumId w:val="23"/>
  </w:num>
  <w:num w:numId="23">
    <w:abstractNumId w:val="40"/>
  </w:num>
  <w:num w:numId="24">
    <w:abstractNumId w:val="33"/>
  </w:num>
  <w:num w:numId="25">
    <w:abstractNumId w:val="29"/>
  </w:num>
  <w:num w:numId="26">
    <w:abstractNumId w:val="65"/>
  </w:num>
  <w:num w:numId="27">
    <w:abstractNumId w:val="67"/>
  </w:num>
  <w:num w:numId="28">
    <w:abstractNumId w:val="79"/>
  </w:num>
  <w:num w:numId="29">
    <w:abstractNumId w:val="11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70"/>
  </w:num>
  <w:num w:numId="31">
    <w:abstractNumId w:val="48"/>
  </w:num>
  <w:num w:numId="32">
    <w:abstractNumId w:val="17"/>
  </w:num>
  <w:num w:numId="33">
    <w:abstractNumId w:val="78"/>
  </w:num>
  <w:num w:numId="34">
    <w:abstractNumId w:val="19"/>
  </w:num>
  <w:num w:numId="35">
    <w:abstractNumId w:val="26"/>
  </w:num>
  <w:num w:numId="36">
    <w:abstractNumId w:val="71"/>
  </w:num>
  <w:num w:numId="37">
    <w:abstractNumId w:val="32"/>
  </w:num>
  <w:num w:numId="38">
    <w:abstractNumId w:val="12"/>
  </w:num>
  <w:num w:numId="39">
    <w:abstractNumId w:val="72"/>
  </w:num>
  <w:num w:numId="40">
    <w:abstractNumId w:val="77"/>
  </w:num>
  <w:num w:numId="41">
    <w:abstractNumId w:val="41"/>
  </w:num>
  <w:num w:numId="42">
    <w:abstractNumId w:val="43"/>
  </w:num>
  <w:num w:numId="43">
    <w:abstractNumId w:val="68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4"/>
  </w:num>
  <w:num w:numId="49">
    <w:abstractNumId w:val="63"/>
  </w:num>
  <w:num w:numId="50">
    <w:abstractNumId w:val="46"/>
  </w:num>
  <w:num w:numId="51">
    <w:abstractNumId w:val="54"/>
  </w:num>
  <w:num w:numId="52">
    <w:abstractNumId w:val="74"/>
  </w:num>
  <w:num w:numId="53">
    <w:abstractNumId w:val="75"/>
  </w:num>
  <w:num w:numId="54">
    <w:abstractNumId w:val="16"/>
  </w:num>
  <w:num w:numId="55">
    <w:abstractNumId w:val="57"/>
  </w:num>
  <w:num w:numId="56">
    <w:abstractNumId w:val="53"/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62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9"/>
  </w:num>
  <w:num w:numId="64">
    <w:abstractNumId w:val="38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</w:num>
  <w:num w:numId="77">
    <w:abstractNumId w:val="6"/>
  </w:num>
  <w:num w:numId="78">
    <w:abstractNumId w:val="2"/>
  </w:num>
  <w:num w:numId="79">
    <w:abstractNumId w:val="20"/>
  </w:num>
  <w:num w:numId="80">
    <w:abstractNumId w:val="25"/>
  </w:num>
  <w:num w:numId="81">
    <w:abstractNumId w:val="64"/>
  </w:num>
  <w:num w:numId="82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  <w:iCs w:val="0"/>
          <w:sz w:val="20"/>
          <w:szCs w:val="20"/>
        </w:rPr>
      </w:lvl>
    </w:lvlOverride>
  </w:num>
  <w:num w:numId="83">
    <w:abstractNumId w:val="1"/>
  </w:num>
  <w:num w:numId="84">
    <w:abstractNumId w:val="0"/>
  </w:num>
  <w:num w:numId="85">
    <w:abstractNumId w:val="5"/>
  </w:num>
  <w:num w:numId="86">
    <w:abstractNumId w:val="1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3464"/>
    <w:rsid w:val="00422E21"/>
    <w:rsid w:val="0042401F"/>
    <w:rsid w:val="0042741B"/>
    <w:rsid w:val="004311E1"/>
    <w:rsid w:val="00434B01"/>
    <w:rsid w:val="00435486"/>
    <w:rsid w:val="0043611D"/>
    <w:rsid w:val="00437794"/>
    <w:rsid w:val="00441DFC"/>
    <w:rsid w:val="004436B8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1F79"/>
    <w:rsid w:val="00743A93"/>
    <w:rsid w:val="00744265"/>
    <w:rsid w:val="007551A7"/>
    <w:rsid w:val="00756736"/>
    <w:rsid w:val="007603FA"/>
    <w:rsid w:val="0076295F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1DB6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C3586"/>
    <w:rsid w:val="00FD1038"/>
    <w:rsid w:val="00FD1725"/>
    <w:rsid w:val="00FD2604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8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FA72-1605-4804-AEED-64D36F33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22</Pages>
  <Words>9834</Words>
  <Characters>59009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189</cp:revision>
  <cp:lastPrinted>2023-05-24T11:09:00Z</cp:lastPrinted>
  <dcterms:created xsi:type="dcterms:W3CDTF">2022-03-30T06:05:00Z</dcterms:created>
  <dcterms:modified xsi:type="dcterms:W3CDTF">2023-05-24T11:29:00Z</dcterms:modified>
</cp:coreProperties>
</file>