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77777777" w:rsidR="00CC6931" w:rsidRPr="000C4143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C4143">
        <w:rPr>
          <w:b/>
          <w:color w:val="auto"/>
        </w:rPr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</w:p>
    <w:p w14:paraId="696E808E" w14:textId="6F57F001" w:rsidR="006A1A68" w:rsidRPr="000C4143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FF0000"/>
        </w:rPr>
        <w:t>Z</w:t>
      </w:r>
      <w:r w:rsidR="00CC6931" w:rsidRPr="000C4143">
        <w:rPr>
          <w:b/>
          <w:color w:val="FF0000"/>
        </w:rPr>
        <w:t>modyfikowany</w:t>
      </w:r>
      <w:r w:rsidRPr="000C4143">
        <w:rPr>
          <w:b/>
          <w:color w:val="FF0000"/>
        </w:rPr>
        <w:t xml:space="preserve"> </w:t>
      </w:r>
      <w:r w:rsidR="002F7398" w:rsidRPr="000C4143">
        <w:rPr>
          <w:b/>
          <w:color w:val="auto"/>
        </w:rPr>
        <w:t>Z</w:t>
      </w:r>
      <w:r w:rsidR="00450AC7" w:rsidRPr="000C4143">
        <w:rPr>
          <w:b/>
          <w:color w:val="auto"/>
        </w:rPr>
        <w:t xml:space="preserve">ałącznik nr </w:t>
      </w:r>
      <w:r w:rsidR="002F7398" w:rsidRPr="000C4143">
        <w:rPr>
          <w:b/>
          <w:color w:val="auto"/>
        </w:rPr>
        <w:t>4</w:t>
      </w:r>
    </w:p>
    <w:p w14:paraId="304B9301" w14:textId="5E534FAC" w:rsidR="00C75A87" w:rsidRPr="000C4143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C4143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C4143">
        <w:rPr>
          <w:b/>
          <w:color w:val="auto"/>
        </w:rPr>
        <w:t>ZESTAWIENIE PARAMETRÓW TECHNICZNYCH</w:t>
      </w:r>
      <w:r w:rsidRPr="000C4143">
        <w:rPr>
          <w:color w:val="auto"/>
        </w:rPr>
        <w:t xml:space="preserve"> </w:t>
      </w:r>
    </w:p>
    <w:p w14:paraId="757DA5B5" w14:textId="77777777" w:rsidR="002F7398" w:rsidRPr="000C4143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C4143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C4143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C4143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C4143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C4143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4BE3252" w14:textId="1ADF6DAB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C4143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C4143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Sterowanie ruchami stołu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min. dwóch stron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przodu i z tyłu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Pozycjonowanie pacjenta zoptymalizowane w oparciu o system kamer 3D na podczerwień, </w:t>
            </w:r>
            <w:r w:rsidRPr="0041129C">
              <w:rPr>
                <w:rFonts w:ascii="Arial" w:hAnsi="Arial" w:cs="Arial"/>
                <w:color w:val="FF0000"/>
                <w:sz w:val="18"/>
                <w:szCs w:val="18"/>
              </w:rPr>
              <w:t>rejestrujące kształt, położenie i wysokość pacjenta za pomocą danych trójwymiarowych celem oblicza prawidłowego położenia pacjenta względem</w:t>
            </w: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518FEE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0E1E532A" w14:textId="7C7B988C" w:rsidR="006A1A68" w:rsidRDefault="009E5375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C9836F6" w14:textId="401A4FBF" w:rsidR="0041129C" w:rsidRDefault="0041129C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3C6925CF" w14:textId="77777777" w:rsidR="0041129C" w:rsidRPr="005B1A65" w:rsidRDefault="0041129C" w:rsidP="0041129C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66A70D46" w14:textId="4C722E06" w:rsidR="0041129C" w:rsidRPr="0041129C" w:rsidRDefault="0041129C" w:rsidP="0041129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systemu kamer rejestrujących kształt, położenie i wysokość pacjenta względem </w:t>
            </w:r>
            <w:proofErr w:type="spellStart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izocentrum</w:t>
            </w:r>
            <w:proofErr w:type="spellEnd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 xml:space="preserve">≥ 800 </w:t>
            </w:r>
            <w:proofErr w:type="spellStart"/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mA</w:t>
            </w:r>
            <w:proofErr w:type="spellEnd"/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załącznikiem nr 5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lastRenderedPageBreak/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chłodzenia generatora płynem (chłodziwem) z oddawaniem ciepła na zewnątrz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c)     powietrzem, z oddawaniem ciepła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Triple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Rule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Różnica napięć (energii) w skanie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dwuenergetycznym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96699B" w14:textId="70D9842B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77777777" w:rsidR="00AD7696" w:rsidRPr="000C4143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775E4F53" w14:textId="499BFF36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Specjalistyczne oprogramowanie do usuwania artefaktów pochodzących od obiektów metalowych z użyciem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proofErr w:type="spellStart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jednoenergentycznej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B9820C" w14:textId="77777777" w:rsidR="008537CA" w:rsidRDefault="008537CA">
            <w:pPr>
              <w:pStyle w:val="Domylnie0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, dawka itd.) w jednym planie, z jednego podania kontrastu – dla min. 3 obszarów, bez zatrzymywania stołu i procesu skanowania pomiędzy poszczególnymi obszarami anatomicznymi </w:t>
            </w:r>
          </w:p>
          <w:p w14:paraId="08BECD05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1ACBF74F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1DDB57E9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Możliwość wykonania badania rożnych obszarów anatomicznych (np. klatka </w:t>
            </w: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lastRenderedPageBreak/>
              <w:t xml:space="preserve">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pitch</w:t>
            </w:r>
            <w:proofErr w:type="spellEnd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40C2BCDD" w14:textId="48F2627F" w:rsidR="00AE23D3" w:rsidRPr="000C4143" w:rsidRDefault="00AE23D3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lastRenderedPageBreak/>
              <w:t xml:space="preserve">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wyposażenia stacji opisowej w system operacyjny uniemożlwiający uruchomienie posiadanego przez Zamawiającego systemu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 (RIS/PACS) produkcji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Zintegrowany z płytą główną kontroler LAN Ethernet obsługujący standardy 10/100/1000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Mbits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Mysz optyczna przewodowa (długość kabla min 1.4 m) USB z rolką, DPI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pojemność macierzy: min. 7,2TB netto w konfiguracji RAID5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zbudowana w oparciu o dyski 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sieciowe 1GbE RJ45 w standardzie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BaseT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16Gb FC wyposażone we wkładki optyczne SFP+ typu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Multimode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niezależna od zainstalowanego na serwerze systemu operacyjnego, posiadająca dedykowany port RJ45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GbE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karta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zarzadzajaca</w:t>
            </w:r>
            <w:proofErr w:type="spellEnd"/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procesor: min. 10 rdzeni, 20 wątków, min. 20000 punktów w teście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Passmark</w:t>
            </w:r>
            <w:proofErr w:type="spellEnd"/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2AF43573" w:rsidR="00ED437B" w:rsidRPr="000C4143" w:rsidRDefault="00CA5B3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3F475AC" w14:textId="77777777" w:rsidR="00CA5B3B" w:rsidRPr="000C4143" w:rsidRDefault="00CA5B3B" w:rsidP="00CA5B3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248192BA" w14:textId="74530C57" w:rsidR="00ED437B" w:rsidRPr="000C4143" w:rsidRDefault="00CA5B3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Commitment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SSD (Surface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Shaded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VRT (Volume Rendering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Technique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kolonografii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wirtualnej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dyssekcji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archiwizowania, na potrzeby szybkiej 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przyopłucnowych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POChP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umożliwiające obliczanie rozedmy 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Oprogramowanie do przeglądania i analizy badań wykonanych w metodzie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dwuenergetycznej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dostępne na każdej konsoli lekarskiej lub na każdym stanowisku diagnostycznym ( w zależności od wybranego przez Wykonawcę rozwiązania  -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Va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 lub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Vb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6500817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C4143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C4143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6B954F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</w:t>
            </w: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lastRenderedPageBreak/>
              <w:t xml:space="preserve">map, w tkankach oraz zmianach, </w:t>
            </w:r>
          </w:p>
          <w:p w14:paraId="5A0B54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C4143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C4143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C4143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C4143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C4143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C4143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oznaczanie kręgów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półfartuch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Automatyczny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</w:t>
            </w:r>
            <w:proofErr w:type="spellEnd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System wykrywania pęcherzyków powietrza w wężykach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wstrzykiwacza</w:t>
            </w:r>
            <w:proofErr w:type="spellEnd"/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wstrzyknięcia maksymalnie 6000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mL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1CB14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40ABC8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7677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0B19F4" w14:textId="4292B4E6" w:rsidR="00AE3745" w:rsidRPr="000C4143" w:rsidRDefault="00AE3745" w:rsidP="00F94F9A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Na jednej ze stacji instalacja lub dostarczenie osobnej stacji wyposażonej w oprogramowanie do wykonywania rekonstrukcji warstwowych tkanek miękkich i struktur naczyniowych z wykorzystaniem danych z angiografii rotacyjnej.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EFA10C" w14:textId="688BC917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3F78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402297F" w14:textId="6AEDB005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DC9044" w14:textId="77777777" w:rsidR="00A400CD" w:rsidRPr="000C4143" w:rsidRDefault="00A400CD" w:rsidP="00A400CD">
            <w:pPr>
              <w:widowControl w:val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pkt,</w:t>
            </w:r>
          </w:p>
          <w:p w14:paraId="10A695BC" w14:textId="2C975FA4" w:rsidR="00AE3745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1" w:name="_Hlk55464133"/>
            <w:bookmarkEnd w:id="3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1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Duplikator automatyczny do płyt  CD/DVD wraz z komputerem sterującym  z monitorem . Dostarczony sprzęt musi współpracować z posiadanym przez Zamawiającego systemem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II RIS/PACS produkcji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x720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należy wyposażyć w komplet czystych płyt DVD, oraz komplet czystych płyt CD (pełne podajniki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1920x1080 pikseli z maksymalną głębią kolorów 32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bpp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2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Obudowa typu Desktop MT gwarantująca oszczędność miejsca, wygodę użytkowania, wielofunkcyjność – np. poprzez możliwość usytuowania w pionie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owania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dopuszcza się stosowania tzw.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overclockingu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Klawiatura  USB w układzie polski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15pin, DVI-D (z HDCP),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pozwalać na nagrywanie opisów dźwiękowych do użytkowanego przez Zamawiającego system RIS firmy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11 / 39 / 93 / 128,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Codabar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MSI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Interleaved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Discrete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Chinese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Matrix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Inverse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1D, GS1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pogwarancyjny serwis urządzeń przez </w:t>
            </w: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18E6FA1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7970BDD3" w:rsidR="00DF1B37" w:rsidRPr="000C4143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auto"/>
        </w:rPr>
        <w:lastRenderedPageBreak/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="000C4143" w:rsidRPr="000C4143">
        <w:rPr>
          <w:b/>
          <w:color w:val="FF0000"/>
        </w:rPr>
        <w:t xml:space="preserve">zmodyfikowany </w:t>
      </w:r>
      <w:r w:rsidRPr="000C4143">
        <w:rPr>
          <w:b/>
          <w:color w:val="auto"/>
        </w:rPr>
        <w:t xml:space="preserve">Załącznik nr </w:t>
      </w:r>
      <w:r w:rsidR="00061621" w:rsidRPr="000C4143">
        <w:rPr>
          <w:b/>
          <w:color w:val="auto"/>
        </w:rPr>
        <w:t>5</w:t>
      </w:r>
    </w:p>
    <w:p w14:paraId="659C3BA9" w14:textId="77777777" w:rsidR="00DF1B37" w:rsidRPr="000C4143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C4143" w:rsidRDefault="00061621" w:rsidP="00DF1B37">
      <w:pPr>
        <w:widowControl w:val="0"/>
        <w:jc w:val="center"/>
        <w:rPr>
          <w:b/>
          <w:bCs/>
          <w:color w:val="auto"/>
        </w:rPr>
      </w:pPr>
      <w:r w:rsidRPr="000C4143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C4143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C4143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C4143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6555A0A7" w14:textId="0E3DAA5B" w:rsidR="00DF1B37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2101211A" w14:textId="77777777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3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EA2CA9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Pozycjonowanie pacjenta zoptymalizowane w oparciu o system kamer 3D na </w:t>
            </w:r>
            <w:r w:rsidRPr="00EA2CA9">
              <w:rPr>
                <w:rFonts w:ascii="Arial" w:hAnsi="Arial" w:cs="Arial"/>
                <w:color w:val="FF0000"/>
                <w:sz w:val="20"/>
                <w:szCs w:val="20"/>
              </w:rPr>
              <w:t xml:space="preserve">podczerwień, rejestrujące kształt, położenie i wysokość pacjenta za pomocą danych trójwymiarowych celem oblicza prawidłowego położenia pacjenta względem </w:t>
            </w:r>
            <w:proofErr w:type="spellStart"/>
            <w:r w:rsidRPr="00EA2CA9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10B39F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6F15FF" w14:textId="62A3B62A" w:rsidR="00DF1B37" w:rsidRDefault="009E5375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D905515" w14:textId="10DF0AE9" w:rsidR="00EA2CA9" w:rsidRDefault="00EA2CA9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FABB5AD" w14:textId="77777777" w:rsidR="00EA2CA9" w:rsidRPr="005B1A65" w:rsidRDefault="00EA2CA9" w:rsidP="00EA2CA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19655FD4" w14:textId="77777777" w:rsidR="00EA2CA9" w:rsidRPr="005B1A65" w:rsidRDefault="00EA2CA9" w:rsidP="00EA2CA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systemu kamer rejestrujących kształt, położenie i wysokość pacjenta względem </w:t>
            </w:r>
            <w:proofErr w:type="spellStart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izocentrum</w:t>
            </w:r>
            <w:proofErr w:type="spellEnd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  <w:p w14:paraId="62F5FE74" w14:textId="76CE8271" w:rsidR="00EA2CA9" w:rsidRPr="000C4143" w:rsidRDefault="00EA2CA9" w:rsidP="009E5375">
            <w:pPr>
              <w:widowControl w:val="0"/>
              <w:rPr>
                <w:color w:val="FF000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C4143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C4143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(iloczyn napięcia i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] 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660 - 1000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&gt;1000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4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diagnostycznego 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5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lastRenderedPageBreak/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0C4143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6" w:name="_Hlk5537374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0C4143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1FE4F719" w:rsidR="00487088" w:rsidRPr="000C4143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DAF809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E85E067" w14:textId="61E199ED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D3AB015" w14:textId="30FEB519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77777777" w:rsidR="00E54345" w:rsidRPr="000C4143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3F81D41F" w14:textId="006E039A" w:rsidR="00487088" w:rsidRPr="000C4143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36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7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serwera aplikacyjnego z pięcioma konsolami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09F83" w14:textId="77777777" w:rsidR="00B5031F" w:rsidRDefault="00B5031F" w:rsidP="00061621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, dawka itd.) w jednym planie, z jednego podania kontrastu – dla min. 3 obszarów, bez zatrzymywania stołu i procesu skanowania pomiędzy poszczególnymi obszarami anatomicznymi</w:t>
            </w:r>
          </w:p>
          <w:p w14:paraId="75D44ACA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6C461E4B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59050746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Możliwość wykonania badania rożnych obszarów anatomicznych (np. klatka 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pitch</w:t>
            </w:r>
            <w:proofErr w:type="spellEnd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309523BA" w14:textId="4DE18964" w:rsidR="00AE23D3" w:rsidRPr="000C4143" w:rsidRDefault="00AE23D3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badania z zastosowaniem filtrów hybrydowych, w </w:t>
            </w: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lastRenderedPageBreak/>
              <w:t>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Va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235B21" w:rsidRPr="000C4143" w14:paraId="7F1238C7" w14:textId="77777777" w:rsidTr="00235B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977270C" w14:textId="31B1C36E" w:rsidR="00235B21" w:rsidRPr="000C4143" w:rsidRDefault="00235B21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0EF94C" w14:textId="77777777" w:rsidR="00235B21" w:rsidRPr="000C4143" w:rsidRDefault="00235B21" w:rsidP="00235B21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47EAE7B" w14:textId="77777777" w:rsidR="00235B21" w:rsidRPr="000C4143" w:rsidRDefault="00235B21" w:rsidP="00235B21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5F26DF28" w14:textId="77777777" w:rsidR="00235B21" w:rsidRPr="000C4143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14BE290" w14:textId="0BA780EB" w:rsidR="00235B21" w:rsidRPr="000C4143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2F94A4A" w14:textId="77777777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………………..</w:t>
            </w:r>
          </w:p>
          <w:p w14:paraId="073F90C6" w14:textId="20A3D905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ilość klientów z jednoczasowym dostępem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4E3B91B" w14:textId="77777777" w:rsidR="00235B21" w:rsidRPr="000C4143" w:rsidRDefault="00235B21" w:rsidP="00235B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1B21E9C7" w14:textId="0F413DF1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lastRenderedPageBreak/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8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9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0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40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C4143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7ABF245B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1" w:name="_Hlk5546931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C4143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595E7397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C4143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7030A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C4143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C4143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C4143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Automatyczny import badań poprzednich z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C4143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lastRenderedPageBreak/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C4143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1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0A7756D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2E7AE9" w14:textId="1F4BE774" w:rsidR="00A400CD" w:rsidRPr="000C4143" w:rsidRDefault="00A400CD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E31E8" w14:textId="61B25ACD" w:rsidR="00A400CD" w:rsidRPr="000C4143" w:rsidRDefault="00A400CD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 jednej ze stacji instalacja lub dostarczenie osobnej stacji wyposażonej w oprogramowanie do wykonywania rekonstrukcji warstwowych tkanek miękkich i struktur naczyniowych z wykorzystaniem danych z angiografii rotacyjnej.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13D7562" w14:textId="41993CC6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A176A3" w14:textId="77777777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DCD2437" w14:textId="40A8D288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39F672" w14:textId="77777777" w:rsidR="00A400CD" w:rsidRPr="000C4143" w:rsidRDefault="00A400CD" w:rsidP="00A400CD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Tak- 5 pkt,</w:t>
            </w:r>
          </w:p>
          <w:p w14:paraId="21F33650" w14:textId="1AB022EC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EF4651E" w:rsidR="00DF1B37" w:rsidRPr="000C4143" w:rsidRDefault="00151F2B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2" w:name="_Hlk55464550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6C21EB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7F7DF56A" w:rsidR="00DF1B37" w:rsidRPr="000C4143" w:rsidRDefault="00151F2B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760D22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2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E6A"/>
    <w:rsid w:val="00330747"/>
    <w:rsid w:val="00336333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1129C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D5B64"/>
    <w:rsid w:val="00505B5A"/>
    <w:rsid w:val="00507959"/>
    <w:rsid w:val="00524748"/>
    <w:rsid w:val="005521BD"/>
    <w:rsid w:val="005548F7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23D3"/>
    <w:rsid w:val="00AE3745"/>
    <w:rsid w:val="00AF4CF2"/>
    <w:rsid w:val="00B00596"/>
    <w:rsid w:val="00B12F45"/>
    <w:rsid w:val="00B4376C"/>
    <w:rsid w:val="00B5031F"/>
    <w:rsid w:val="00B55F19"/>
    <w:rsid w:val="00B625A8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72A84"/>
    <w:rsid w:val="00D732C5"/>
    <w:rsid w:val="00D81C94"/>
    <w:rsid w:val="00D867E0"/>
    <w:rsid w:val="00D93E5D"/>
    <w:rsid w:val="00DB1989"/>
    <w:rsid w:val="00DC2118"/>
    <w:rsid w:val="00DF1B37"/>
    <w:rsid w:val="00E00568"/>
    <w:rsid w:val="00E111F7"/>
    <w:rsid w:val="00E20F66"/>
    <w:rsid w:val="00E23B31"/>
    <w:rsid w:val="00E360FC"/>
    <w:rsid w:val="00E41CE6"/>
    <w:rsid w:val="00E42A02"/>
    <w:rsid w:val="00E54345"/>
    <w:rsid w:val="00E6064F"/>
    <w:rsid w:val="00E62956"/>
    <w:rsid w:val="00E719FB"/>
    <w:rsid w:val="00EA2CA9"/>
    <w:rsid w:val="00EA3052"/>
    <w:rsid w:val="00EA4000"/>
    <w:rsid w:val="00EB6AE1"/>
    <w:rsid w:val="00EC7D13"/>
    <w:rsid w:val="00ED437B"/>
    <w:rsid w:val="00EF3352"/>
    <w:rsid w:val="00EF38A9"/>
    <w:rsid w:val="00F00959"/>
    <w:rsid w:val="00F0696C"/>
    <w:rsid w:val="00F35F37"/>
    <w:rsid w:val="00F477EB"/>
    <w:rsid w:val="00F6736D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36</Pages>
  <Words>10582</Words>
  <Characters>63497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123</cp:revision>
  <cp:lastPrinted>2020-10-06T12:44:00Z</cp:lastPrinted>
  <dcterms:created xsi:type="dcterms:W3CDTF">2020-10-06T11:04:00Z</dcterms:created>
  <dcterms:modified xsi:type="dcterms:W3CDTF">2020-11-23T09:35:00Z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