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4AB4B019"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C52BFE">
        <w:rPr>
          <w:rFonts w:ascii="Tahoma" w:eastAsia="Times New Roman" w:hAnsi="Tahoma" w:cs="Tahoma"/>
          <w:bCs/>
          <w:sz w:val="20"/>
          <w:szCs w:val="24"/>
          <w:lang w:eastAsia="pl-PL"/>
        </w:rPr>
        <w:t>6</w:t>
      </w:r>
      <w:r w:rsidR="00971172">
        <w:rPr>
          <w:rFonts w:ascii="Tahoma" w:eastAsia="Times New Roman" w:hAnsi="Tahoma" w:cs="Tahoma"/>
          <w:bCs/>
          <w:sz w:val="20"/>
          <w:szCs w:val="24"/>
          <w:lang w:eastAsia="pl-PL"/>
        </w:rPr>
        <w:t>7</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095E">
        <w:rPr>
          <w:rFonts w:ascii="Tahoma" w:eastAsia="Times New Roman" w:hAnsi="Tahoma" w:cs="Tahoma"/>
          <w:bCs/>
          <w:sz w:val="20"/>
          <w:szCs w:val="24"/>
          <w:lang w:eastAsia="pl-PL"/>
        </w:rPr>
        <w:t>3</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44E0C90"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971172">
        <w:rPr>
          <w:rFonts w:ascii="Tahoma" w:eastAsia="Times New Roman" w:hAnsi="Tahoma" w:cs="Tahoma"/>
          <w:b/>
          <w:bCs/>
          <w:sz w:val="20"/>
          <w:szCs w:val="24"/>
          <w:lang w:eastAsia="pl-PL"/>
        </w:rPr>
        <w:t>produktu leczniczego - radioaktywnego</w:t>
      </w:r>
      <w:r w:rsidRPr="00CC5192">
        <w:rPr>
          <w:rFonts w:ascii="Tahoma" w:eastAsia="Times New Roman" w:hAnsi="Tahoma" w:cs="Tahoma"/>
          <w:b/>
          <w:bCs/>
          <w:sz w:val="20"/>
          <w:szCs w:val="24"/>
          <w:lang w:eastAsia="pl-PL"/>
        </w:rPr>
        <w:t xml:space="preserve">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01BBC7C4"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w:t>
      </w:r>
      <w:r w:rsidR="001D4E60">
        <w:rPr>
          <w:rFonts w:ascii="Tahoma" w:eastAsia="Times New Roman" w:hAnsi="Tahoma" w:cs="Tahoma"/>
          <w:sz w:val="20"/>
          <w:szCs w:val="24"/>
          <w:lang w:eastAsia="pl-PL"/>
        </w:rPr>
        <w:t>2</w:t>
      </w:r>
      <w:r w:rsidRPr="00C874F7">
        <w:rPr>
          <w:rFonts w:ascii="Tahoma" w:eastAsia="Times New Roman" w:hAnsi="Tahoma" w:cs="Tahoma"/>
          <w:sz w:val="20"/>
          <w:szCs w:val="24"/>
          <w:lang w:eastAsia="pl-PL"/>
        </w:rPr>
        <w:t xml:space="preserve"> r. poz. </w:t>
      </w:r>
      <w:r w:rsidR="001D4E60">
        <w:rPr>
          <w:rFonts w:ascii="Tahoma" w:eastAsia="Times New Roman" w:hAnsi="Tahoma" w:cs="Tahoma"/>
          <w:sz w:val="20"/>
          <w:szCs w:val="24"/>
          <w:lang w:eastAsia="pl-PL"/>
        </w:rPr>
        <w:t>1710</w:t>
      </w:r>
      <w:r w:rsidR="00DE5AE6">
        <w:rPr>
          <w:rFonts w:ascii="Tahoma" w:eastAsia="Times New Roman" w:hAnsi="Tahoma" w:cs="Tahoma"/>
          <w:sz w:val="20"/>
          <w:szCs w:val="24"/>
          <w:lang w:eastAsia="pl-PL"/>
        </w:rPr>
        <w:t xml:space="preserve"> z późn.zm</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5EECE879"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112E1E">
        <w:rPr>
          <w:rFonts w:ascii="Tahoma" w:eastAsia="Times New Roman" w:hAnsi="Tahoma" w:cs="Tahoma"/>
          <w:bCs/>
          <w:sz w:val="20"/>
          <w:szCs w:val="24"/>
          <w:lang w:eastAsia="pl-PL"/>
        </w:rPr>
        <w:t>25.07.2023</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5354E655" w:rsidR="00ED7710" w:rsidRDefault="00753A4D" w:rsidP="00875F84">
      <w:pPr>
        <w:spacing w:after="0" w:line="240" w:lineRule="auto"/>
        <w:ind w:left="708"/>
        <w:jc w:val="right"/>
        <w:rPr>
          <w:rFonts w:ascii="Tahoma" w:eastAsia="Times New Roman" w:hAnsi="Tahoma" w:cs="Tahoma"/>
          <w:bCs/>
          <w:sz w:val="20"/>
          <w:szCs w:val="24"/>
          <w:lang w:eastAsia="pl-PL"/>
        </w:rPr>
      </w:pPr>
      <w:r w:rsidRPr="00753A4D">
        <w:rPr>
          <w:rFonts w:ascii="Cambria" w:eastAsia="Cambria" w:hAnsi="Cambria" w:cs="Times New Roman"/>
          <w:noProof/>
          <w:lang w:eastAsia="pl-PL"/>
        </w:rPr>
        <w:drawing>
          <wp:inline distT="0" distB="0" distL="0" distR="0" wp14:anchorId="41E0A7DC" wp14:editId="00A2D478">
            <wp:extent cx="2255520" cy="922020"/>
            <wp:effectExtent l="0" t="0" r="0" b="0"/>
            <wp:docPr id="14672926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r w:rsidR="00257898">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501D3121" w:rsidR="00CC5192" w:rsidRDefault="00CC5192" w:rsidP="008278A7">
      <w:pPr>
        <w:spacing w:after="0" w:line="240" w:lineRule="auto"/>
        <w:ind w:left="708"/>
        <w:jc w:val="right"/>
        <w:rPr>
          <w:rFonts w:ascii="Cambria" w:eastAsia="Cambria" w:hAnsi="Cambria"/>
          <w:noProof/>
        </w:rPr>
      </w:pP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6B7767FD" w14:textId="621AA75C" w:rsidR="00CC5192" w:rsidRDefault="00CC5192" w:rsidP="00753A4D">
      <w:pPr>
        <w:spacing w:after="0" w:line="240" w:lineRule="auto"/>
        <w:jc w:val="center"/>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lastRenderedPageBreak/>
        <w:t xml:space="preserve">                                                                                         </w:t>
      </w:r>
    </w:p>
    <w:p w14:paraId="5EDD3B69" w14:textId="12EAE3AB" w:rsidR="00D633DF" w:rsidRDefault="00D633DF" w:rsidP="0054697A">
      <w:pPr>
        <w:spacing w:after="0" w:line="240" w:lineRule="auto"/>
        <w:jc w:val="right"/>
        <w:rPr>
          <w:rFonts w:ascii="Tahoma" w:eastAsia="Times New Roman" w:hAnsi="Tahoma" w:cs="Tahoma"/>
          <w:bCs/>
          <w:noProof/>
          <w:sz w:val="20"/>
          <w:szCs w:val="24"/>
          <w:lang w:eastAsia="pl-PL"/>
        </w:rPr>
      </w:pPr>
    </w:p>
    <w:p w14:paraId="582CC02E" w14:textId="47D5933B" w:rsidR="003773AC" w:rsidRDefault="003773AC" w:rsidP="0054697A">
      <w:pPr>
        <w:spacing w:after="0" w:line="240" w:lineRule="auto"/>
        <w:jc w:val="right"/>
        <w:rPr>
          <w:rFonts w:ascii="Tahoma" w:eastAsia="Times New Roman" w:hAnsi="Tahoma" w:cs="Tahoma"/>
          <w:bCs/>
          <w:noProof/>
          <w:sz w:val="20"/>
          <w:szCs w:val="24"/>
          <w:lang w:eastAsia="pl-PL"/>
        </w:rPr>
      </w:pPr>
    </w:p>
    <w:p w14:paraId="2EC6F88E" w14:textId="71191021"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5B092379"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w:t>
      </w:r>
      <w:r w:rsidR="00A348AE">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r. poz. </w:t>
      </w:r>
      <w:r w:rsidR="00A348AE">
        <w:rPr>
          <w:rFonts w:ascii="Tahoma" w:eastAsia="Times New Roman" w:hAnsi="Tahoma" w:cs="Tahoma"/>
          <w:sz w:val="20"/>
          <w:szCs w:val="24"/>
          <w:lang w:eastAsia="pl-PL"/>
        </w:rPr>
        <w:t>1710</w:t>
      </w:r>
      <w:r w:rsidR="00024E18">
        <w:rPr>
          <w:rFonts w:ascii="Tahoma" w:eastAsia="Times New Roman" w:hAnsi="Tahoma" w:cs="Tahoma"/>
          <w:sz w:val="20"/>
          <w:szCs w:val="24"/>
          <w:lang w:eastAsia="pl-PL"/>
        </w:rPr>
        <w:t xml:space="preserve"> z pó</w:t>
      </w:r>
      <w:r w:rsidR="007328D5">
        <w:rPr>
          <w:rFonts w:ascii="Tahoma" w:eastAsia="Times New Roman" w:hAnsi="Tahoma" w:cs="Tahoma"/>
          <w:sz w:val="20"/>
          <w:szCs w:val="24"/>
          <w:lang w:eastAsia="pl-PL"/>
        </w:rPr>
        <w:t>ź</w:t>
      </w:r>
      <w:r w:rsidR="00024E18">
        <w:rPr>
          <w:rFonts w:ascii="Tahoma" w:eastAsia="Times New Roman" w:hAnsi="Tahoma" w:cs="Tahoma"/>
          <w:sz w:val="20"/>
          <w:szCs w:val="24"/>
          <w:lang w:eastAsia="pl-PL"/>
        </w:rPr>
        <w:t>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2723F5D0"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w:t>
      </w:r>
      <w:r w:rsidR="00971172">
        <w:rPr>
          <w:rFonts w:ascii="Tahoma" w:eastAsia="Times New Roman" w:hAnsi="Tahoma" w:cs="Tahoma"/>
          <w:sz w:val="20"/>
          <w:szCs w:val="24"/>
          <w:lang w:eastAsia="pl-PL"/>
        </w:rPr>
        <w:t xml:space="preserve">u leczniczego – radioaktywnego </w:t>
      </w:r>
      <w:r w:rsidRPr="00E62D37">
        <w:rPr>
          <w:rFonts w:ascii="Tahoma" w:eastAsia="Times New Roman" w:hAnsi="Tahoma" w:cs="Tahoma"/>
          <w:sz w:val="20"/>
          <w:szCs w:val="24"/>
          <w:lang w:eastAsia="pl-PL"/>
        </w:rPr>
        <w:t xml:space="preserve">wyszczególnienie ilościowe oraz wymagania jakościowe </w:t>
      </w:r>
      <w:r w:rsidRPr="00800F49">
        <w:rPr>
          <w:rFonts w:ascii="Tahoma" w:eastAsia="Times New Roman" w:hAnsi="Tahoma" w:cs="Tahoma"/>
          <w:sz w:val="20"/>
          <w:szCs w:val="24"/>
          <w:lang w:eastAsia="pl-PL"/>
        </w:rPr>
        <w:t>określono  w załącznik</w:t>
      </w:r>
      <w:r w:rsidR="00971172">
        <w:rPr>
          <w:rFonts w:ascii="Tahoma" w:eastAsia="Times New Roman" w:hAnsi="Tahoma" w:cs="Tahoma"/>
          <w:sz w:val="20"/>
          <w:szCs w:val="24"/>
          <w:lang w:eastAsia="pl-PL"/>
        </w:rPr>
        <w:t>u</w:t>
      </w:r>
      <w:r w:rsidRPr="00800F49">
        <w:rPr>
          <w:rFonts w:ascii="Tahoma" w:eastAsia="Times New Roman" w:hAnsi="Tahoma" w:cs="Tahoma"/>
          <w:sz w:val="20"/>
          <w:szCs w:val="24"/>
          <w:lang w:eastAsia="pl-PL"/>
        </w:rPr>
        <w:t xml:space="preserve">  nr 4</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178A27B8" w14:textId="77777777" w:rsidR="00C52BFE" w:rsidRPr="006D1F32"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 xml:space="preserve">Nazwy i kody wg Wspólnego Słownika Zamówień:   </w:t>
      </w:r>
    </w:p>
    <w:p w14:paraId="3E650F68" w14:textId="77777777" w:rsidR="00C52BFE" w:rsidRPr="00EB145F"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336521</w:t>
      </w:r>
      <w:r w:rsidRPr="000976C1">
        <w:rPr>
          <w:rFonts w:ascii="Tahoma" w:eastAsia="Times New Roman" w:hAnsi="Tahoma" w:cs="Tahoma"/>
          <w:color w:val="000000"/>
          <w:sz w:val="20"/>
          <w:szCs w:val="20"/>
          <w:lang w:eastAsia="pl-PL"/>
        </w:rPr>
        <w:t xml:space="preserve">00-6 – środki przeciwnowotworowe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685CA0">
      <w:pPr>
        <w:pStyle w:val="Akapitzlist"/>
        <w:numPr>
          <w:ilvl w:val="0"/>
          <w:numId w:val="15"/>
        </w:numPr>
        <w:spacing w:after="0" w:line="240" w:lineRule="auto"/>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C5D808A" w14:textId="77777777" w:rsidR="00971172" w:rsidRDefault="00971172" w:rsidP="00971172">
      <w:pPr>
        <w:pStyle w:val="Akapitzlist"/>
        <w:numPr>
          <w:ilvl w:val="0"/>
          <w:numId w:val="15"/>
        </w:numPr>
        <w:spacing w:after="0" w:line="240" w:lineRule="auto"/>
        <w:jc w:val="both"/>
        <w:rPr>
          <w:rFonts w:ascii="Tahoma" w:eastAsia="Times New Roman" w:hAnsi="Tahoma" w:cs="Tahoma"/>
          <w:sz w:val="20"/>
          <w:szCs w:val="24"/>
          <w:lang w:eastAsia="pl-PL"/>
        </w:rPr>
      </w:pPr>
      <w:r w:rsidRPr="00E20ED4">
        <w:rPr>
          <w:rFonts w:ascii="Tahoma" w:eastAsia="Times New Roman" w:hAnsi="Tahoma" w:cs="Tahoma"/>
          <w:sz w:val="20"/>
          <w:szCs w:val="24"/>
          <w:lang w:eastAsia="pl-PL"/>
        </w:rPr>
        <w:t xml:space="preserve">Przedmiot i warunki realizacji niniejszego zamówienia winny być zgodne z ustawą z dnia 06 września 2001r. Prawo farmaceutyczne oraz </w:t>
      </w:r>
      <w:r>
        <w:rPr>
          <w:rFonts w:ascii="Tahoma" w:eastAsia="Times New Roman" w:hAnsi="Tahoma" w:cs="Tahoma"/>
          <w:sz w:val="20"/>
          <w:szCs w:val="24"/>
          <w:lang w:eastAsia="pl-PL"/>
        </w:rPr>
        <w:t>zgodnie z ustawą z dnia 29.11.2000 r Prawo atomowe ( t.j Dz.U 2023 poz.1173 z późn. zm)</w:t>
      </w:r>
      <w:r w:rsidRPr="00E20ED4">
        <w:rPr>
          <w:rFonts w:ascii="Tahoma" w:eastAsia="Times New Roman" w:hAnsi="Tahoma" w:cs="Tahoma"/>
          <w:sz w:val="20"/>
          <w:szCs w:val="24"/>
          <w:lang w:eastAsia="pl-PL"/>
        </w:rPr>
        <w:t xml:space="preserve"> z innymi obowiązującymi przepisami prawnymi w tym zakresie.</w:t>
      </w:r>
    </w:p>
    <w:p w14:paraId="0A190427" w14:textId="77777777" w:rsidR="00971172" w:rsidRPr="00235CD0" w:rsidRDefault="00971172" w:rsidP="00971172">
      <w:pPr>
        <w:pStyle w:val="Akapitzlist"/>
        <w:numPr>
          <w:ilvl w:val="0"/>
          <w:numId w:val="15"/>
        </w:numPr>
        <w:spacing w:after="0" w:line="240" w:lineRule="auto"/>
        <w:jc w:val="both"/>
        <w:rPr>
          <w:rFonts w:ascii="Tahoma" w:eastAsia="Times New Roman" w:hAnsi="Tahoma" w:cs="Tahoma"/>
          <w:sz w:val="20"/>
          <w:szCs w:val="24"/>
          <w:lang w:eastAsia="pl-PL"/>
        </w:rPr>
      </w:pPr>
      <w:r w:rsidRPr="00235CD0">
        <w:rPr>
          <w:rFonts w:ascii="Tahoma" w:eastAsia="Times New Roman" w:hAnsi="Tahoma" w:cs="Tahoma"/>
          <w:sz w:val="20"/>
          <w:szCs w:val="24"/>
          <w:lang w:eastAsia="pl-PL"/>
        </w:rPr>
        <w:t>Data ważności produktu leczniczego – radioaktywnego : 72 godziny od daty i godziny kalibracji rozumianej jako data i godzina produkcji.</w:t>
      </w: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099A1F1A"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t>
      </w:r>
      <w:r w:rsidR="00971172">
        <w:rPr>
          <w:rFonts w:ascii="Tahoma" w:eastAsia="Times New Roman" w:hAnsi="Tahoma" w:cs="Tahoma"/>
          <w:sz w:val="20"/>
          <w:szCs w:val="24"/>
          <w:lang w:eastAsia="pl-PL"/>
        </w:rPr>
        <w:t>.</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24575360" w14:textId="77777777" w:rsidR="00971172" w:rsidRPr="00235CD0" w:rsidRDefault="00971172" w:rsidP="00971172">
      <w:pPr>
        <w:pStyle w:val="Akapitzlist"/>
        <w:numPr>
          <w:ilvl w:val="0"/>
          <w:numId w:val="92"/>
        </w:numPr>
        <w:spacing w:after="0" w:line="240" w:lineRule="auto"/>
        <w:jc w:val="both"/>
        <w:rPr>
          <w:rFonts w:ascii="Tahoma" w:eastAsia="Times New Roman" w:hAnsi="Tahoma" w:cs="Tahoma"/>
          <w:sz w:val="20"/>
          <w:szCs w:val="24"/>
          <w:lang w:eastAsia="pl-PL"/>
        </w:rPr>
      </w:pPr>
      <w:r w:rsidRPr="00235CD0">
        <w:rPr>
          <w:rFonts w:ascii="Tahoma" w:eastAsia="Times New Roman" w:hAnsi="Tahoma" w:cs="Tahoma"/>
          <w:sz w:val="20"/>
          <w:szCs w:val="24"/>
          <w:lang w:eastAsia="pl-PL"/>
        </w:rPr>
        <w:t xml:space="preserve">Posiada uprawnienia do obrotu produktami leczniczymi </w:t>
      </w:r>
    </w:p>
    <w:p w14:paraId="452652C8" w14:textId="77777777" w:rsidR="00971172" w:rsidRPr="00235CD0" w:rsidRDefault="00971172" w:rsidP="00971172">
      <w:pPr>
        <w:pStyle w:val="Akapitzlist"/>
        <w:spacing w:after="0" w:line="240" w:lineRule="auto"/>
        <w:ind w:left="1068"/>
        <w:jc w:val="both"/>
        <w:rPr>
          <w:rFonts w:ascii="Tahoma" w:eastAsia="Times New Roman" w:hAnsi="Tahoma" w:cs="Tahoma"/>
          <w:sz w:val="20"/>
          <w:szCs w:val="24"/>
          <w:lang w:eastAsia="pl-PL"/>
        </w:rPr>
      </w:pPr>
      <w:r w:rsidRPr="00235CD0">
        <w:rPr>
          <w:rFonts w:ascii="Tahoma" w:eastAsia="Times New Roman" w:hAnsi="Tahoma" w:cs="Tahoma"/>
          <w:sz w:val="20"/>
          <w:szCs w:val="24"/>
          <w:lang w:eastAsia="pl-PL"/>
        </w:rPr>
        <w:t xml:space="preserve">Za spełniających ten warunek Zamawiający uzna Wykonawców, którzy </w:t>
      </w:r>
      <w:r>
        <w:rPr>
          <w:rFonts w:ascii="Tahoma" w:eastAsia="Times New Roman" w:hAnsi="Tahoma" w:cs="Tahoma"/>
          <w:sz w:val="20"/>
          <w:szCs w:val="24"/>
          <w:lang w:eastAsia="pl-PL"/>
        </w:rPr>
        <w:t>posiadają</w:t>
      </w:r>
      <w:r w:rsidRPr="00235CD0">
        <w:rPr>
          <w:rFonts w:ascii="Tahoma" w:eastAsia="Times New Roman" w:hAnsi="Tahoma" w:cs="Tahoma"/>
          <w:sz w:val="20"/>
          <w:szCs w:val="24"/>
          <w:lang w:eastAsia="pl-PL"/>
        </w:rPr>
        <w:t xml:space="preserve">  Zezwolenie/licencje Głównego Inspektora Farmaceutycznego na prowadzenie hurtowni </w:t>
      </w:r>
      <w:r w:rsidRPr="00235CD0">
        <w:rPr>
          <w:rFonts w:ascii="Tahoma" w:eastAsia="Times New Roman" w:hAnsi="Tahoma" w:cs="Tahoma"/>
          <w:sz w:val="20"/>
          <w:szCs w:val="24"/>
          <w:lang w:eastAsia="pl-PL"/>
        </w:rPr>
        <w:lastRenderedPageBreak/>
        <w:t xml:space="preserve">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14:paraId="6A429261" w14:textId="77777777" w:rsidR="00971172" w:rsidRDefault="00971172" w:rsidP="00971172">
      <w:pPr>
        <w:pStyle w:val="Akapitzlist"/>
        <w:numPr>
          <w:ilvl w:val="0"/>
          <w:numId w:val="92"/>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Posiada uprawnienia do wykonywania działalności związanej z narażeniem polegającej na wytwarzaniu ,przetwarzaniu,przechowywaniu transporcie,stosowaniu materiałów jądrowych lub źródeł promieniotwórczych i obrocie tymi materiałami lub źródłami na terenie Polski i Unii Europejskiej zgodnie z ustawą </w:t>
      </w:r>
      <w:r w:rsidRPr="00EE0A2C">
        <w:rPr>
          <w:rFonts w:ascii="Tahoma" w:eastAsia="Times New Roman" w:hAnsi="Tahoma" w:cs="Tahoma"/>
          <w:sz w:val="20"/>
          <w:szCs w:val="24"/>
          <w:lang w:eastAsia="pl-PL"/>
        </w:rPr>
        <w:t>z dnia 29.11.2000 r Prawo atomowe ( t.j Dz.U 202</w:t>
      </w:r>
      <w:r>
        <w:rPr>
          <w:rFonts w:ascii="Tahoma" w:eastAsia="Times New Roman" w:hAnsi="Tahoma" w:cs="Tahoma"/>
          <w:sz w:val="20"/>
          <w:szCs w:val="24"/>
          <w:lang w:eastAsia="pl-PL"/>
        </w:rPr>
        <w:t>3</w:t>
      </w:r>
      <w:r w:rsidRPr="00EE0A2C">
        <w:rPr>
          <w:rFonts w:ascii="Tahoma" w:eastAsia="Times New Roman" w:hAnsi="Tahoma" w:cs="Tahoma"/>
          <w:sz w:val="20"/>
          <w:szCs w:val="24"/>
          <w:lang w:eastAsia="pl-PL"/>
        </w:rPr>
        <w:t xml:space="preserve"> poz.</w:t>
      </w:r>
      <w:r>
        <w:rPr>
          <w:rFonts w:ascii="Tahoma" w:eastAsia="Times New Roman" w:hAnsi="Tahoma" w:cs="Tahoma"/>
          <w:sz w:val="20"/>
          <w:szCs w:val="24"/>
          <w:lang w:eastAsia="pl-PL"/>
        </w:rPr>
        <w:t xml:space="preserve">1173 </w:t>
      </w:r>
      <w:r w:rsidRPr="00EE0A2C">
        <w:rPr>
          <w:rFonts w:ascii="Tahoma" w:eastAsia="Times New Roman" w:hAnsi="Tahoma" w:cs="Tahoma"/>
          <w:sz w:val="20"/>
          <w:szCs w:val="24"/>
          <w:lang w:eastAsia="pl-PL"/>
        </w:rPr>
        <w:t>z późn. zm)</w:t>
      </w:r>
    </w:p>
    <w:p w14:paraId="16F67745" w14:textId="77777777" w:rsidR="00971172" w:rsidRPr="00235CD0" w:rsidRDefault="00971172" w:rsidP="00971172">
      <w:pPr>
        <w:pStyle w:val="Akapitzlist"/>
        <w:spacing w:after="0" w:line="240" w:lineRule="auto"/>
        <w:ind w:left="1068"/>
        <w:jc w:val="both"/>
        <w:rPr>
          <w:rFonts w:ascii="Tahoma" w:eastAsia="Times New Roman" w:hAnsi="Tahoma" w:cs="Tahoma"/>
          <w:sz w:val="20"/>
          <w:szCs w:val="24"/>
          <w:lang w:eastAsia="pl-PL"/>
        </w:rPr>
      </w:pPr>
      <w:r>
        <w:rPr>
          <w:rFonts w:ascii="Tahoma" w:eastAsia="Times New Roman" w:hAnsi="Tahoma" w:cs="Tahoma"/>
          <w:sz w:val="20"/>
          <w:szCs w:val="24"/>
          <w:lang w:eastAsia="pl-PL"/>
        </w:rPr>
        <w:t>Za spełniających ten warunek Zamawiający uzna Wykonawców ,którzy posiadają zezwolenie PAA</w:t>
      </w: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5CAB4736" w14:textId="7C6DA100" w:rsidR="006933AB" w:rsidRPr="006933AB" w:rsidRDefault="006933AB" w:rsidP="006933AB">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31D7D230" w14:textId="2385E087" w:rsidR="006933AB" w:rsidRPr="00023D8A" w:rsidRDefault="006933AB" w:rsidP="006933AB">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FA740AC"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0E68DA08" w14:textId="77777777" w:rsidR="006933AB" w:rsidRPr="00023D8A" w:rsidRDefault="006933AB" w:rsidP="006933AB">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67812CAF"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19C3639"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92430"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54E2C76"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30CA1B5" w14:textId="77777777" w:rsidR="006933AB" w:rsidRPr="00023D8A" w:rsidRDefault="006933AB" w:rsidP="006933AB">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A45361"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1F73AD"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A5909D" w14:textId="77777777" w:rsidR="006933AB" w:rsidRPr="006933AB" w:rsidRDefault="006933AB" w:rsidP="006933AB">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A98591" w14:textId="77777777" w:rsidR="006933AB" w:rsidRPr="00023D8A" w:rsidRDefault="006933AB" w:rsidP="006933AB">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A75DDCC"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CAB7F2" w14:textId="77777777" w:rsidR="006933AB" w:rsidRPr="006933AB" w:rsidRDefault="006933AB" w:rsidP="006933AB">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FF9AC7" w14:textId="5BB588C6" w:rsidR="006933AB" w:rsidRPr="006933AB" w:rsidRDefault="006933AB" w:rsidP="006933AB">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2.2</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1DE1924C" w14:textId="1F9AD231" w:rsidR="006933AB" w:rsidRDefault="006933AB" w:rsidP="006933AB">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lastRenderedPageBreak/>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17E6D42" w14:textId="3A322D15" w:rsidR="006933AB" w:rsidRDefault="006933AB" w:rsidP="006933AB">
      <w:pPr>
        <w:pStyle w:val="Akapitzlist"/>
        <w:spacing w:after="0" w:line="240" w:lineRule="auto"/>
        <w:ind w:left="1068"/>
        <w:rPr>
          <w:rStyle w:val="markedcontent"/>
          <w:rFonts w:ascii="Tahoma" w:eastAsia="Times New Roman" w:hAnsi="Tahoma" w:cs="Tahoma"/>
          <w:b/>
          <w:sz w:val="20"/>
          <w:szCs w:val="20"/>
        </w:rPr>
      </w:pPr>
    </w:p>
    <w:p w14:paraId="18019B39" w14:textId="7A8FABAD" w:rsidR="006933AB" w:rsidRPr="006933AB" w:rsidRDefault="006933AB">
      <w:pPr>
        <w:pStyle w:val="Akapitzlist"/>
        <w:numPr>
          <w:ilvl w:val="1"/>
          <w:numId w:val="64"/>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0ACA28A" w14:textId="77777777"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67F34ED"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w:t>
      </w:r>
      <w:r w:rsidR="00971172">
        <w:rPr>
          <w:rFonts w:ascii="Tahoma" w:eastAsia="Times New Roman" w:hAnsi="Tahoma" w:cs="Tahoma"/>
          <w:bCs/>
          <w:sz w:val="20"/>
          <w:szCs w:val="20"/>
          <w:lang w:eastAsia="ar-SA"/>
        </w:rPr>
        <w:t xml:space="preserve">a) i b) </w:t>
      </w:r>
      <w:r w:rsidRPr="00107BD3">
        <w:rPr>
          <w:rFonts w:ascii="Tahoma" w:eastAsia="Times New Roman" w:hAnsi="Tahoma" w:cs="Tahoma"/>
          <w:bCs/>
          <w:sz w:val="20"/>
          <w:szCs w:val="20"/>
          <w:lang w:eastAsia="ar-SA"/>
        </w:rPr>
        <w:t xml:space="preserve">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0" w:name="_Hlk120860870"/>
      <w:r w:rsidRPr="004C7C03">
        <w:rPr>
          <w:rFonts w:ascii="Tahoma" w:hAnsi="Tahoma" w:cs="Tahoma"/>
          <w:sz w:val="20"/>
          <w:szCs w:val="20"/>
        </w:rPr>
        <w:t xml:space="preserve">Oświadczenie o niepodleganiu </w:t>
      </w:r>
      <w:bookmarkStart w:id="1"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1"/>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0"/>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lastRenderedPageBreak/>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5F28CCC7" w14:textId="6858513E" w:rsidR="00971172" w:rsidRPr="00971172" w:rsidRDefault="000E2D81" w:rsidP="00CE0232">
      <w:pPr>
        <w:pStyle w:val="Akapitzlist"/>
        <w:numPr>
          <w:ilvl w:val="0"/>
          <w:numId w:val="9"/>
        </w:numPr>
        <w:spacing w:after="0" w:line="240" w:lineRule="auto"/>
        <w:jc w:val="both"/>
        <w:rPr>
          <w:rFonts w:ascii="Tahoma" w:eastAsia="Times New Roman" w:hAnsi="Tahoma" w:cs="Tahoma"/>
          <w:sz w:val="20"/>
          <w:szCs w:val="20"/>
          <w:lang w:eastAsia="pl-PL"/>
        </w:rPr>
      </w:pPr>
      <w:r w:rsidRPr="00971172">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71172" w:rsidRPr="00971172">
        <w:rPr>
          <w:rFonts w:ascii="Tahoma" w:eastAsia="Times New Roman" w:hAnsi="Tahoma" w:cs="Tahoma"/>
          <w:sz w:val="20"/>
          <w:szCs w:val="20"/>
          <w:lang w:eastAsia="pl-PL"/>
        </w:rPr>
        <w:t xml:space="preserve"> oraz zezwolenie PPA </w:t>
      </w:r>
      <w:r w:rsidR="00971172">
        <w:rPr>
          <w:rFonts w:ascii="Tahoma" w:eastAsia="Times New Roman" w:hAnsi="Tahoma" w:cs="Tahoma"/>
          <w:sz w:val="20"/>
          <w:szCs w:val="20"/>
          <w:lang w:eastAsia="pl-PL"/>
        </w:rPr>
        <w:t>na po</w:t>
      </w:r>
      <w:r w:rsidR="00971172" w:rsidRPr="00971172">
        <w:rPr>
          <w:rFonts w:ascii="Tahoma" w:eastAsia="Times New Roman" w:hAnsi="Tahoma" w:cs="Tahoma"/>
          <w:sz w:val="20"/>
          <w:szCs w:val="20"/>
          <w:lang w:eastAsia="pl-PL"/>
        </w:rPr>
        <w:t>siada</w:t>
      </w:r>
      <w:r w:rsidR="00971172">
        <w:rPr>
          <w:rFonts w:ascii="Tahoma" w:eastAsia="Times New Roman" w:hAnsi="Tahoma" w:cs="Tahoma"/>
          <w:sz w:val="20"/>
          <w:szCs w:val="20"/>
          <w:lang w:eastAsia="pl-PL"/>
        </w:rPr>
        <w:t>nie</w:t>
      </w:r>
      <w:r w:rsidR="00971172" w:rsidRPr="00971172">
        <w:rPr>
          <w:rFonts w:ascii="Tahoma" w:eastAsia="Times New Roman" w:hAnsi="Tahoma" w:cs="Tahoma"/>
          <w:sz w:val="20"/>
          <w:szCs w:val="20"/>
          <w:lang w:eastAsia="pl-PL"/>
        </w:rPr>
        <w:t xml:space="preserve"> uprawnienia do wykonywania działalności związanej z narażeniem polegającej na wytwarzaniu ,przetwarzaniu,przechowywaniu transporcie,stosowaniu materiałów jądrowych lub źródeł promieniotwórczych i obrocie tymi materiałami lub źródłami na terenie Polski i Unii Europejskiej zgodnie z ustawą z dnia 29.11.2000 r Prawo atomowe ( t.j Dz.U 2023 poz.1173 z późn. zm)</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66C0443E" w:rsidR="003B0AF6" w:rsidRPr="000E2D81" w:rsidRDefault="003B0AF6" w:rsidP="00B02420">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0253A">
        <w:rPr>
          <w:rFonts w:ascii="Tahoma" w:hAnsi="Tahoma" w:cs="Tahoma"/>
          <w:sz w:val="20"/>
          <w:szCs w:val="20"/>
        </w:rPr>
        <w:t xml:space="preserve"> </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6A693579"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2"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9D77A2">
        <w:rPr>
          <w:rFonts w:ascii="Tahoma" w:eastAsia="Times New Roman" w:hAnsi="Tahoma" w:cs="Tahoma"/>
          <w:color w:val="000000"/>
          <w:sz w:val="20"/>
          <w:szCs w:val="20"/>
          <w:lang w:eastAsia="ar-SA"/>
        </w:rPr>
        <w:t>6</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2"/>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55302FD6"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9D77A2">
        <w:rPr>
          <w:rFonts w:ascii="Tahoma" w:eastAsia="Times New Roman" w:hAnsi="Tahoma" w:cs="Tahoma"/>
          <w:color w:val="000000"/>
          <w:sz w:val="20"/>
          <w:szCs w:val="20"/>
          <w:lang w:eastAsia="ar-SA"/>
        </w:rPr>
        <w:t>7</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5710A10" w:rsidR="00D40169" w:rsidRPr="00912D4A"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5FC16698" w14:textId="77777777" w:rsidR="0047181B" w:rsidRDefault="0047181B" w:rsidP="00CC5192">
      <w:pPr>
        <w:spacing w:after="0" w:line="240" w:lineRule="auto"/>
        <w:rPr>
          <w:rFonts w:ascii="Tahoma" w:eastAsia="Times New Roman" w:hAnsi="Tahoma" w:cs="Tahoma"/>
          <w:b/>
          <w:sz w:val="20"/>
          <w:szCs w:val="24"/>
          <w:lang w:eastAsia="pl-PL"/>
        </w:rPr>
      </w:pPr>
    </w:p>
    <w:p w14:paraId="310C1C85" w14:textId="38604199"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lastRenderedPageBreak/>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w:t>
      </w:r>
      <w:r w:rsidRPr="00375CD5">
        <w:rPr>
          <w:rFonts w:ascii="Tahoma" w:eastAsia="Calibri" w:hAnsi="Tahoma" w:cs="Tahoma"/>
          <w:sz w:val="20"/>
          <w:szCs w:val="20"/>
        </w:rPr>
        <w:lastRenderedPageBreak/>
        <w:t xml:space="preserve">świadczeniu usług drogą elektroniczną, każda ze stron na żądanie drugiej strony niezwłocznie potwierdza fakt ich otrzymania. </w:t>
      </w:r>
    </w:p>
    <w:p w14:paraId="68892015" w14:textId="3805D140"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4104DA0C"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281927">
        <w:rPr>
          <w:rFonts w:ascii="Tahoma" w:eastAsia="Times New Roman" w:hAnsi="Tahoma" w:cs="Tahoma"/>
          <w:b/>
          <w:bCs/>
          <w:sz w:val="20"/>
          <w:szCs w:val="20"/>
          <w:u w:val="single"/>
          <w:lang w:eastAsia="pl-PL"/>
        </w:rPr>
        <w:t>22.11.2023r.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6ED4CEA9" w14:textId="77777777" w:rsidR="002906EA" w:rsidRPr="002906EA" w:rsidRDefault="002906EA" w:rsidP="002906EA">
      <w:pPr>
        <w:numPr>
          <w:ilvl w:val="0"/>
          <w:numId w:val="2"/>
        </w:numPr>
        <w:spacing w:after="0" w:line="240" w:lineRule="auto"/>
        <w:rPr>
          <w:rFonts w:ascii="Tahoma" w:eastAsia="Times New Roman" w:hAnsi="Tahoma" w:cs="Tahoma"/>
          <w:sz w:val="20"/>
          <w:szCs w:val="24"/>
          <w:lang w:eastAsia="pl-PL"/>
        </w:rPr>
      </w:pPr>
      <w:r w:rsidRPr="002906EA">
        <w:rPr>
          <w:rFonts w:ascii="Tahoma" w:eastAsia="Times New Roman" w:hAnsi="Tahoma" w:cs="Tahoma"/>
          <w:sz w:val="20"/>
          <w:szCs w:val="24"/>
          <w:lang w:eastAsia="pl-PL"/>
        </w:rPr>
        <w:t>Każdy Wykonawca może złożyć tylko jedną ofertę na całość zamówienia. Zamawiający nie dopuszcza składania ofert częściowych w ramach tego postępowania.</w:t>
      </w:r>
    </w:p>
    <w:p w14:paraId="75090E52" w14:textId="77777777" w:rsidR="002906EA" w:rsidRPr="002906EA" w:rsidRDefault="002906EA" w:rsidP="002906EA">
      <w:pPr>
        <w:spacing w:after="0" w:line="240" w:lineRule="auto"/>
        <w:ind w:left="340"/>
        <w:rPr>
          <w:rFonts w:ascii="Tahoma" w:eastAsia="Times New Roman" w:hAnsi="Tahoma" w:cs="Tahoma"/>
          <w:sz w:val="20"/>
          <w:szCs w:val="24"/>
          <w:lang w:eastAsia="pl-PL"/>
        </w:rPr>
      </w:pPr>
      <w:r w:rsidRPr="002906EA">
        <w:rPr>
          <w:rFonts w:ascii="Tahoma" w:eastAsia="Times New Roman" w:hAnsi="Tahoma" w:cs="Tahoma"/>
          <w:i/>
          <w:iCs/>
          <w:sz w:val="20"/>
          <w:szCs w:val="24"/>
          <w:lang w:eastAsia="pl-PL"/>
        </w:rPr>
        <w:t>Uzasadnienie:</w:t>
      </w:r>
      <w:r w:rsidRPr="002906EA">
        <w:rPr>
          <w:rFonts w:ascii="Tahoma" w:eastAsia="Times New Roman" w:hAnsi="Tahoma" w:cs="Tahoma"/>
          <w:sz w:val="20"/>
          <w:szCs w:val="24"/>
          <w:lang w:eastAsia="pl-PL"/>
        </w:rPr>
        <w:t xml:space="preserve"> Zamawiający dokonała podziału zamówienia na części w taki sposób ,że przedmiotowe postępowanie jest prowadzone odrębnie jako część zamówienia .</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5F6BD74A"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p>
    <w:p w14:paraId="6B594206" w14:textId="31EF953E"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stanowiąc</w:t>
      </w:r>
      <w:r w:rsidR="00971172">
        <w:rPr>
          <w:rFonts w:ascii="Tahoma" w:eastAsia="Times New Roman" w:hAnsi="Tahoma" w:cs="Tahoma"/>
          <w:sz w:val="20"/>
          <w:szCs w:val="24"/>
          <w:lang w:eastAsia="pl-PL"/>
        </w:rPr>
        <w:t xml:space="preserve">ego </w:t>
      </w:r>
      <w:r w:rsidRPr="00CC5192">
        <w:rPr>
          <w:rFonts w:ascii="Tahoma" w:eastAsia="Times New Roman" w:hAnsi="Tahoma" w:cs="Tahoma"/>
          <w:sz w:val="20"/>
          <w:szCs w:val="24"/>
          <w:u w:val="single"/>
          <w:lang w:eastAsia="pl-PL"/>
        </w:rPr>
        <w:t>załącznik  nr od 4</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lastRenderedPageBreak/>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3"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3"/>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lastRenderedPageBreak/>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0CAE7EA5"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FE7197">
        <w:rPr>
          <w:rFonts w:ascii="Tahoma" w:eastAsia="Times New Roman" w:hAnsi="Tahoma" w:cs="Tahoma"/>
          <w:b/>
          <w:bCs/>
          <w:sz w:val="20"/>
          <w:szCs w:val="20"/>
          <w:u w:val="single"/>
          <w:lang w:eastAsia="pl-PL"/>
        </w:rPr>
        <w:t>25.08.2023r.</w:t>
      </w:r>
      <w:r w:rsidRPr="00D12AFF">
        <w:rPr>
          <w:rFonts w:ascii="Tahoma" w:eastAsia="Times New Roman" w:hAnsi="Tahoma" w:cs="Tahoma"/>
          <w:b/>
          <w:bCs/>
          <w:sz w:val="20"/>
          <w:szCs w:val="20"/>
          <w:lang w:eastAsia="pl-PL"/>
        </w:rPr>
        <w:t xml:space="preserve">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4"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4"/>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64033487"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3E42B5">
        <w:rPr>
          <w:rFonts w:ascii="Tahoma" w:eastAsia="Times New Roman" w:hAnsi="Tahoma" w:cs="Tahoma"/>
          <w:sz w:val="20"/>
          <w:szCs w:val="20"/>
          <w:lang w:eastAsia="pl-PL"/>
        </w:rPr>
        <w:t xml:space="preserve">dniu  </w:t>
      </w:r>
      <w:r w:rsidR="00281927" w:rsidRPr="003E42B5">
        <w:rPr>
          <w:rFonts w:ascii="Tahoma" w:eastAsia="Times New Roman" w:hAnsi="Tahoma" w:cs="Tahoma"/>
          <w:b/>
          <w:bCs/>
          <w:sz w:val="20"/>
          <w:szCs w:val="20"/>
          <w:u w:val="single"/>
          <w:lang w:eastAsia="pl-PL"/>
        </w:rPr>
        <w:t>25.08.2023r.</w:t>
      </w:r>
      <w:r w:rsidRPr="003E42B5">
        <w:rPr>
          <w:rFonts w:ascii="Tahoma" w:eastAsia="Times New Roman" w:hAnsi="Tahoma" w:cs="Tahoma"/>
          <w:b/>
          <w:bCs/>
          <w:sz w:val="20"/>
          <w:szCs w:val="20"/>
          <w:u w:val="single"/>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lastRenderedPageBreak/>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7A69C836"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p>
    <w:p w14:paraId="4DC66B12" w14:textId="29955F6A"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w:t>
      </w:r>
      <w:r w:rsidR="002906EA">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2906EA">
        <w:rPr>
          <w:rFonts w:ascii="Tahoma" w:eastAsia="Times New Roman" w:hAnsi="Tahoma" w:cs="Tahoma"/>
          <w:sz w:val="20"/>
          <w:szCs w:val="24"/>
          <w:lang w:eastAsia="pl-PL"/>
        </w:rPr>
        <w:t>.</w:t>
      </w:r>
      <w:r w:rsidRPr="00B56E27">
        <w:rPr>
          <w:rFonts w:ascii="Tahoma" w:eastAsia="Times New Roman" w:hAnsi="Tahoma" w:cs="Tahoma"/>
          <w:sz w:val="20"/>
          <w:szCs w:val="24"/>
          <w:lang w:eastAsia="pl-PL"/>
        </w:rPr>
        <w:t xml:space="preserve"> </w:t>
      </w:r>
    </w:p>
    <w:p w14:paraId="500666A8" w14:textId="35842A5D"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32407A69" w14:textId="77777777" w:rsidR="00501111" w:rsidRDefault="00501111" w:rsidP="00CC5192">
      <w:pPr>
        <w:spacing w:after="0" w:line="240" w:lineRule="auto"/>
        <w:rPr>
          <w:rFonts w:ascii="Tahoma" w:eastAsia="Times New Roman" w:hAnsi="Tahoma" w:cs="Tahoma"/>
          <w:b/>
          <w:sz w:val="20"/>
          <w:szCs w:val="24"/>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2A59EF61"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57411B8D"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lastRenderedPageBreak/>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0538F37E"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4E0A4E">
        <w:rPr>
          <w:rFonts w:ascii="Tahoma" w:eastAsia="Times New Roman" w:hAnsi="Tahoma" w:cs="Tahoma"/>
          <w:sz w:val="20"/>
          <w:szCs w:val="24"/>
          <w:lang w:eastAsia="pl-PL"/>
        </w:rPr>
        <w:t>ory</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CADCB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1CE80EB8"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27725D">
        <w:rPr>
          <w:rFonts w:ascii="Tahoma" w:hAnsi="Tahoma" w:cs="Tahoma"/>
          <w:color w:val="000000"/>
          <w:sz w:val="20"/>
          <w:szCs w:val="20"/>
        </w:rPr>
        <w:t>wz</w:t>
      </w:r>
      <w:r w:rsidR="00912D4A">
        <w:rPr>
          <w:rFonts w:ascii="Tahoma" w:hAnsi="Tahoma" w:cs="Tahoma"/>
          <w:color w:val="000000"/>
          <w:sz w:val="20"/>
          <w:szCs w:val="20"/>
        </w:rPr>
        <w:t>ór</w:t>
      </w:r>
      <w:r w:rsidR="0027725D">
        <w:rPr>
          <w:rFonts w:ascii="Tahoma" w:hAnsi="Tahoma" w:cs="Tahoma"/>
          <w:color w:val="000000"/>
          <w:sz w:val="20"/>
          <w:szCs w:val="20"/>
        </w:rPr>
        <w:t xml:space="preserve"> </w:t>
      </w:r>
      <w:r w:rsidR="009012B3" w:rsidRPr="007B1195">
        <w:rPr>
          <w:rFonts w:ascii="Tahoma" w:hAnsi="Tahoma" w:cs="Tahoma"/>
          <w:color w:val="000000"/>
          <w:sz w:val="20"/>
          <w:szCs w:val="20"/>
        </w:rPr>
        <w:t>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F00403">
        <w:rPr>
          <w:rFonts w:ascii="Tahoma" w:hAnsi="Tahoma" w:cs="Tahoma"/>
          <w:color w:val="000000"/>
          <w:sz w:val="20"/>
          <w:szCs w:val="20"/>
        </w:rPr>
        <w:t xml:space="preserve"> </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180AA188" w14:textId="1CD38071"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1581137"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w:t>
      </w:r>
      <w:r w:rsidR="008F62AA">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poz. </w:t>
      </w:r>
      <w:r w:rsidR="008F62AA">
        <w:rPr>
          <w:rFonts w:ascii="Tahoma" w:eastAsia="Times New Roman" w:hAnsi="Tahoma" w:cs="Tahoma"/>
          <w:sz w:val="20"/>
          <w:szCs w:val="24"/>
          <w:lang w:eastAsia="pl-PL"/>
        </w:rPr>
        <w:t>1710</w:t>
      </w:r>
      <w:r w:rsidR="006777ED">
        <w:rPr>
          <w:rFonts w:ascii="Tahoma" w:eastAsia="Times New Roman" w:hAnsi="Tahoma" w:cs="Tahoma"/>
          <w:sz w:val="20"/>
          <w:szCs w:val="24"/>
          <w:lang w:eastAsia="pl-PL"/>
        </w:rPr>
        <w:t xml:space="preserve"> </w:t>
      </w:r>
      <w:r w:rsidR="00FB434C">
        <w:rPr>
          <w:rFonts w:ascii="Tahoma" w:eastAsia="Times New Roman" w:hAnsi="Tahoma" w:cs="Tahoma"/>
          <w:sz w:val="20"/>
          <w:szCs w:val="24"/>
          <w:lang w:eastAsia="pl-PL"/>
        </w:rPr>
        <w:t>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787D5C" w:rsidRDefault="00CC5192" w:rsidP="004E13D7">
      <w:pPr>
        <w:spacing w:after="0" w:line="240" w:lineRule="auto"/>
        <w:rPr>
          <w:rFonts w:ascii="Tahoma" w:eastAsia="Times New Roman" w:hAnsi="Tahoma" w:cs="Tahoma"/>
          <w:b/>
          <w:bCs/>
          <w:sz w:val="20"/>
          <w:szCs w:val="24"/>
          <w:lang w:eastAsia="pl-PL"/>
        </w:rPr>
      </w:pPr>
      <w:r w:rsidRPr="00787D5C">
        <w:rPr>
          <w:rFonts w:ascii="Tahoma" w:eastAsia="Times New Roman" w:hAnsi="Tahoma" w:cs="Tahoma"/>
          <w:b/>
          <w:bCs/>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67B2FC1A"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Formularz  cenow</w:t>
      </w:r>
      <w:r w:rsidR="002906EA">
        <w:rPr>
          <w:rFonts w:ascii="Tahoma" w:eastAsia="Times New Roman" w:hAnsi="Tahoma" w:cs="Tahoma"/>
          <w:sz w:val="20"/>
          <w:szCs w:val="24"/>
          <w:lang w:eastAsia="pl-PL"/>
        </w:rPr>
        <w:t>y</w:t>
      </w:r>
      <w:r w:rsidR="00CC5192" w:rsidRPr="00BE37B0">
        <w:rPr>
          <w:rFonts w:ascii="Tahoma" w:eastAsia="Times New Roman" w:hAnsi="Tahoma" w:cs="Tahoma"/>
          <w:sz w:val="20"/>
          <w:szCs w:val="24"/>
          <w:lang w:eastAsia="pl-PL"/>
        </w:rPr>
        <w:t xml:space="preserv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28847399"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01176C" w:rsidRPr="00BE37B0">
        <w:rPr>
          <w:rFonts w:ascii="Tahoma" w:eastAsia="Times New Roman" w:hAnsi="Tahoma" w:cs="Tahoma"/>
          <w:sz w:val="20"/>
          <w:szCs w:val="24"/>
          <w:lang w:eastAsia="pl-PL"/>
        </w:rPr>
        <w:t>Wz</w:t>
      </w:r>
      <w:r w:rsidR="00912D4A">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54D27ABE" w14:textId="77777777" w:rsidR="00787D5C" w:rsidRDefault="00787D5C" w:rsidP="00CC5192">
      <w:pPr>
        <w:spacing w:after="0" w:line="240" w:lineRule="auto"/>
        <w:jc w:val="both"/>
        <w:rPr>
          <w:rFonts w:ascii="Tahoma" w:eastAsia="Times New Roman" w:hAnsi="Tahoma" w:cs="Tahoma"/>
          <w:sz w:val="20"/>
          <w:szCs w:val="24"/>
          <w:lang w:eastAsia="pl-PL"/>
        </w:rPr>
      </w:pPr>
    </w:p>
    <w:p w14:paraId="1F03E035" w14:textId="77777777" w:rsidR="00787D5C" w:rsidRDefault="00787D5C" w:rsidP="00CC5192">
      <w:pPr>
        <w:spacing w:after="0" w:line="240" w:lineRule="auto"/>
        <w:jc w:val="both"/>
        <w:rPr>
          <w:rFonts w:ascii="Tahoma" w:eastAsia="Times New Roman" w:hAnsi="Tahoma" w:cs="Tahoma"/>
          <w:sz w:val="20"/>
          <w:szCs w:val="24"/>
          <w:lang w:eastAsia="pl-PL"/>
        </w:rPr>
      </w:pPr>
    </w:p>
    <w:p w14:paraId="5D7031CC" w14:textId="77777777" w:rsidR="00787D5C" w:rsidRDefault="00787D5C" w:rsidP="00CC5192">
      <w:pPr>
        <w:spacing w:after="0" w:line="240" w:lineRule="auto"/>
        <w:jc w:val="both"/>
        <w:rPr>
          <w:rFonts w:ascii="Tahoma" w:eastAsia="Times New Roman" w:hAnsi="Tahoma" w:cs="Tahoma"/>
          <w:sz w:val="20"/>
          <w:szCs w:val="24"/>
          <w:lang w:eastAsia="pl-PL"/>
        </w:rPr>
      </w:pPr>
    </w:p>
    <w:p w14:paraId="676F24BF" w14:textId="72BD2638"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957867">
        <w:rPr>
          <w:rFonts w:ascii="Tahoma" w:eastAsia="Times New Roman" w:hAnsi="Tahoma" w:cs="Tahoma"/>
          <w:sz w:val="20"/>
          <w:szCs w:val="24"/>
          <w:lang w:eastAsia="pl-PL"/>
        </w:rPr>
        <w:t>6</w:t>
      </w:r>
      <w:r w:rsidR="002906EA">
        <w:rPr>
          <w:rFonts w:ascii="Tahoma" w:eastAsia="Times New Roman" w:hAnsi="Tahoma" w:cs="Tahoma"/>
          <w:sz w:val="20"/>
          <w:szCs w:val="24"/>
          <w:lang w:eastAsia="pl-PL"/>
        </w:rPr>
        <w:t>7</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67E1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01B2FA97" w14:textId="77777777" w:rsidR="002906EA" w:rsidRDefault="002906EA" w:rsidP="002906E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produkt</w:t>
      </w:r>
      <w:r>
        <w:rPr>
          <w:rFonts w:ascii="Tahoma" w:eastAsia="Times New Roman" w:hAnsi="Tahoma" w:cs="Tahoma"/>
          <w:b/>
          <w:sz w:val="20"/>
          <w:szCs w:val="24"/>
          <w:lang w:eastAsia="pl-PL"/>
        </w:rPr>
        <w:t xml:space="preserve">u </w:t>
      </w:r>
      <w:r w:rsidRPr="00CA0F0A">
        <w:rPr>
          <w:rFonts w:ascii="Tahoma" w:eastAsia="Times New Roman" w:hAnsi="Tahoma" w:cs="Tahoma"/>
          <w:b/>
          <w:sz w:val="20"/>
          <w:szCs w:val="24"/>
          <w:lang w:eastAsia="pl-PL"/>
        </w:rPr>
        <w:t>lecznicz</w:t>
      </w:r>
      <w:r>
        <w:rPr>
          <w:rFonts w:ascii="Tahoma" w:eastAsia="Times New Roman" w:hAnsi="Tahoma" w:cs="Tahoma"/>
          <w:b/>
          <w:sz w:val="20"/>
          <w:szCs w:val="24"/>
          <w:lang w:eastAsia="pl-PL"/>
        </w:rPr>
        <w:t>ego- radioaktywnego</w:t>
      </w:r>
      <w:r w:rsidRPr="00CA0F0A">
        <w:rPr>
          <w:rFonts w:ascii="Tahoma" w:eastAsia="Times New Roman" w:hAnsi="Tahoma" w:cs="Tahoma"/>
          <w:bCs/>
          <w:sz w:val="20"/>
          <w:szCs w:val="24"/>
          <w:lang w:eastAsia="pl-PL"/>
        </w:rPr>
        <w:t xml:space="preserve"> w ilości  i asortymen</w:t>
      </w:r>
      <w:r>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r>
        <w:rPr>
          <w:rFonts w:ascii="Tahoma" w:eastAsia="Times New Roman" w:hAnsi="Tahoma" w:cs="Tahoma"/>
          <w:bCs/>
          <w:sz w:val="20"/>
          <w:szCs w:val="24"/>
          <w:lang w:eastAsia="pl-PL"/>
        </w:rPr>
        <w:t>:</w:t>
      </w:r>
    </w:p>
    <w:p w14:paraId="4A441493" w14:textId="77777777" w:rsidR="002906EA" w:rsidRDefault="002906EA" w:rsidP="002906EA">
      <w:pPr>
        <w:pStyle w:val="Bezodstpw"/>
        <w:spacing w:line="100" w:lineRule="atLeast"/>
        <w:jc w:val="both"/>
        <w:rPr>
          <w:rFonts w:ascii="Tahoma" w:eastAsia="Times New Roman" w:hAnsi="Tahoma" w:cs="Tahoma"/>
          <w:b/>
          <w:bCs/>
          <w:kern w:val="0"/>
          <w:sz w:val="20"/>
          <w:szCs w:val="24"/>
          <w:lang w:eastAsia="pl-PL"/>
        </w:rPr>
      </w:pPr>
    </w:p>
    <w:p w14:paraId="30D61B34" w14:textId="77777777" w:rsidR="002906EA" w:rsidRPr="00431D3C" w:rsidRDefault="002906EA" w:rsidP="002906EA">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20DE7588" w14:textId="77777777" w:rsidR="002906EA" w:rsidRPr="00431D3C" w:rsidRDefault="002906EA" w:rsidP="002906EA">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114F9B81" w14:textId="77777777" w:rsidR="002906EA" w:rsidRPr="00431D3C" w:rsidRDefault="002906EA" w:rsidP="002906EA">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4E79BA" w14:textId="77777777" w:rsidR="001D55B9"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753FD051" w14:textId="77777777" w:rsidR="002906EA" w:rsidRDefault="002906EA"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0A53D6F7" w14:textId="77777777" w:rsidR="002906EA" w:rsidRDefault="002906EA"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090DD932" w14:textId="77777777" w:rsidR="002906EA" w:rsidRPr="006B6E67" w:rsidRDefault="002906EA"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2906EA" w:rsidRDefault="00CC5192" w:rsidP="00CC5192">
      <w:pPr>
        <w:tabs>
          <w:tab w:val="left" w:pos="12240"/>
        </w:tabs>
        <w:spacing w:after="0" w:line="240" w:lineRule="auto"/>
        <w:jc w:val="both"/>
        <w:rPr>
          <w:rFonts w:ascii="Tahoma" w:eastAsia="Times New Roman" w:hAnsi="Tahoma" w:cs="Tahoma"/>
          <w:bCs/>
          <w:sz w:val="18"/>
          <w:szCs w:val="18"/>
          <w:lang w:eastAsia="pl-PL"/>
        </w:rPr>
      </w:pPr>
      <w:r w:rsidRPr="002906EA">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2906EA" w:rsidRDefault="00CC5192" w:rsidP="00CC5192">
      <w:pPr>
        <w:tabs>
          <w:tab w:val="left" w:pos="12240"/>
        </w:tabs>
        <w:spacing w:after="0" w:line="240" w:lineRule="auto"/>
        <w:jc w:val="both"/>
        <w:rPr>
          <w:rFonts w:ascii="Tahoma" w:eastAsia="Times New Roman" w:hAnsi="Tahoma" w:cs="Tahoma"/>
          <w:bCs/>
          <w:sz w:val="18"/>
          <w:szCs w:val="18"/>
          <w:lang w:eastAsia="pl-PL"/>
        </w:rPr>
      </w:pPr>
      <w:r w:rsidRPr="002906EA">
        <w:rPr>
          <w:rFonts w:ascii="Tahoma" w:eastAsia="Times New Roman" w:hAnsi="Tahoma" w:cs="Tahoma"/>
          <w:bCs/>
          <w:sz w:val="18"/>
          <w:szCs w:val="18"/>
          <w:lang w:eastAsia="pl-PL"/>
        </w:rPr>
        <w:t xml:space="preserve">- Jesteśmy związani niniejszą ofertą przez czas wskazany w Specyfikacji Warunków </w:t>
      </w:r>
      <w:r w:rsidR="000F31E5" w:rsidRPr="002906EA">
        <w:rPr>
          <w:rFonts w:ascii="Tahoma" w:eastAsia="Times New Roman" w:hAnsi="Tahoma" w:cs="Tahoma"/>
          <w:bCs/>
          <w:sz w:val="18"/>
          <w:szCs w:val="18"/>
          <w:lang w:eastAsia="pl-PL"/>
        </w:rPr>
        <w:t xml:space="preserve"> Zamówienia </w:t>
      </w:r>
    </w:p>
    <w:p w14:paraId="74890006" w14:textId="4CF801DD" w:rsidR="00CC5192" w:rsidRPr="002906EA" w:rsidRDefault="00CC5192" w:rsidP="00CC5192">
      <w:pPr>
        <w:tabs>
          <w:tab w:val="left" w:pos="12240"/>
        </w:tabs>
        <w:spacing w:after="0" w:line="240" w:lineRule="auto"/>
        <w:jc w:val="both"/>
        <w:rPr>
          <w:rFonts w:ascii="Tahoma" w:eastAsia="Times New Roman" w:hAnsi="Tahoma" w:cs="Tahoma"/>
          <w:bCs/>
          <w:sz w:val="18"/>
          <w:szCs w:val="18"/>
          <w:lang w:eastAsia="pl-PL"/>
        </w:rPr>
      </w:pPr>
      <w:r w:rsidRPr="002906EA">
        <w:rPr>
          <w:rFonts w:ascii="Tahoma" w:eastAsia="Times New Roman" w:hAnsi="Tahoma" w:cs="Tahoma"/>
          <w:bCs/>
          <w:sz w:val="18"/>
          <w:szCs w:val="18"/>
          <w:lang w:eastAsia="pl-PL"/>
        </w:rPr>
        <w:t>- Zawarta w Specyfikacji Warunków Zamówienia treść wzo</w:t>
      </w:r>
      <w:r w:rsidR="003731D1" w:rsidRPr="002906EA">
        <w:rPr>
          <w:rFonts w:ascii="Tahoma" w:eastAsia="Times New Roman" w:hAnsi="Tahoma" w:cs="Tahoma"/>
          <w:bCs/>
          <w:sz w:val="18"/>
          <w:szCs w:val="18"/>
          <w:lang w:eastAsia="pl-PL"/>
        </w:rPr>
        <w:t>r</w:t>
      </w:r>
      <w:r w:rsidR="00912D4A" w:rsidRPr="002906EA">
        <w:rPr>
          <w:rFonts w:ascii="Tahoma" w:eastAsia="Times New Roman" w:hAnsi="Tahoma" w:cs="Tahoma"/>
          <w:bCs/>
          <w:sz w:val="18"/>
          <w:szCs w:val="18"/>
          <w:lang w:eastAsia="pl-PL"/>
        </w:rPr>
        <w:t>u</w:t>
      </w:r>
      <w:r w:rsidR="001D3A2A" w:rsidRPr="002906EA">
        <w:rPr>
          <w:rFonts w:ascii="Tahoma" w:eastAsia="Times New Roman" w:hAnsi="Tahoma" w:cs="Tahoma"/>
          <w:bCs/>
          <w:sz w:val="18"/>
          <w:szCs w:val="18"/>
          <w:lang w:eastAsia="pl-PL"/>
        </w:rPr>
        <w:t xml:space="preserve"> </w:t>
      </w:r>
      <w:r w:rsidRPr="002906EA">
        <w:rPr>
          <w:rFonts w:ascii="Tahoma" w:eastAsia="Times New Roman" w:hAnsi="Tahoma" w:cs="Tahoma"/>
          <w:bCs/>
          <w:sz w:val="18"/>
          <w:szCs w:val="18"/>
          <w:lang w:eastAsia="pl-PL"/>
        </w:rPr>
        <w:t xml:space="preserve">umowy została przez nas zaakceptowana </w:t>
      </w:r>
      <w:r w:rsidR="00734E75" w:rsidRPr="002906EA">
        <w:rPr>
          <w:rFonts w:ascii="Tahoma" w:eastAsia="Times New Roman" w:hAnsi="Tahoma" w:cs="Tahoma"/>
          <w:bCs/>
          <w:sz w:val="18"/>
          <w:szCs w:val="18"/>
          <w:lang w:eastAsia="pl-PL"/>
        </w:rPr>
        <w:t xml:space="preserve">                             </w:t>
      </w:r>
      <w:r w:rsidRPr="002906EA">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01D9E029" w14:textId="41C8DF84" w:rsidR="002906EA" w:rsidRPr="002906EA" w:rsidRDefault="00CC5192" w:rsidP="002906EA">
      <w:pPr>
        <w:tabs>
          <w:tab w:val="num" w:pos="709"/>
        </w:tabs>
        <w:spacing w:after="0" w:line="240" w:lineRule="auto"/>
        <w:jc w:val="both"/>
        <w:rPr>
          <w:rFonts w:ascii="Tahoma" w:eastAsia="Times New Roman" w:hAnsi="Tahoma" w:cs="Tahoma"/>
          <w:sz w:val="18"/>
          <w:szCs w:val="18"/>
          <w:lang w:eastAsia="pl-PL"/>
        </w:rPr>
      </w:pPr>
      <w:r w:rsidRPr="002906EA">
        <w:rPr>
          <w:rFonts w:ascii="Tahoma" w:eastAsia="Times New Roman" w:hAnsi="Tahoma" w:cs="Tahoma"/>
          <w:sz w:val="18"/>
          <w:szCs w:val="18"/>
          <w:lang w:eastAsia="pl-PL"/>
        </w:rPr>
        <w:t xml:space="preserve">- Oświadczamy, że przedmiot i warunki realizacji niniejszego zamówienia są zgodne z </w:t>
      </w:r>
      <w:r w:rsidR="002906EA" w:rsidRPr="002906EA">
        <w:rPr>
          <w:rFonts w:ascii="Tahoma" w:eastAsia="Cambria" w:hAnsi="Tahoma" w:cs="Tahoma"/>
          <w:sz w:val="18"/>
          <w:szCs w:val="18"/>
          <w:lang w:eastAsia="pl-PL"/>
        </w:rPr>
        <w:t xml:space="preserve">obowiązującymi przepisami prawa, a w szczególności zgodnie z ustawą z dnia 6 września 2001r. Prawo farmaceutyczne (t.j. Dz. U. z 2022 poz. 2301 z późn. zm., </w:t>
      </w:r>
      <w:bookmarkStart w:id="5" w:name="_Hlk138830187"/>
      <w:r w:rsidR="002906EA" w:rsidRPr="002906EA">
        <w:rPr>
          <w:rFonts w:ascii="Tahoma" w:eastAsia="Cambria" w:hAnsi="Tahoma" w:cs="Tahoma"/>
          <w:sz w:val="18"/>
          <w:szCs w:val="18"/>
          <w:lang w:eastAsia="pl-PL"/>
        </w:rPr>
        <w:t>oraz z ustawą z dnia 29.11.2000 r Prawo atomowe ( t.j Dz.U 2023 poz. 1173 z późn. zm.</w:t>
      </w:r>
      <w:bookmarkEnd w:id="5"/>
      <w:r w:rsidR="002906EA" w:rsidRPr="002906EA">
        <w:rPr>
          <w:rFonts w:ascii="Tahoma" w:eastAsia="Cambria" w:hAnsi="Tahoma" w:cs="Tahoma"/>
          <w:sz w:val="18"/>
          <w:szCs w:val="18"/>
          <w:lang w:eastAsia="pl-PL"/>
        </w:rPr>
        <w:t>)</w:t>
      </w:r>
    </w:p>
    <w:p w14:paraId="61011D2F" w14:textId="77777777" w:rsidR="00BE37B0" w:rsidRPr="002906EA"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2906EA">
        <w:rPr>
          <w:rFonts w:ascii="Tahoma" w:eastAsia="Times New Roman" w:hAnsi="Tahoma" w:cs="Tahoma"/>
          <w:sz w:val="18"/>
          <w:szCs w:val="18"/>
          <w:lang w:eastAsia="ar-SA"/>
        </w:rPr>
        <w:t>- Oświadczam, że wypełniłem obowiązki informacyjne przewidziane w art. 13 lub art. 14</w:t>
      </w:r>
      <w:r w:rsidRPr="002906EA">
        <w:rPr>
          <w:rFonts w:ascii="Tahoma" w:eastAsia="Times New Roman" w:hAnsi="Tahoma" w:cs="Tahoma"/>
          <w:sz w:val="18"/>
          <w:szCs w:val="18"/>
          <w:vertAlign w:val="superscript"/>
          <w:lang w:eastAsia="ar-SA"/>
        </w:rPr>
        <w:t xml:space="preserve"> </w:t>
      </w:r>
      <w:r w:rsidRPr="002906EA">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02C9763C" w14:textId="77777777" w:rsidR="00BE37B0" w:rsidRPr="002906EA"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06EA">
        <w:rPr>
          <w:rFonts w:ascii="Tahoma" w:eastAsia="Times New Roman" w:hAnsi="Tahoma" w:cs="Tahoma"/>
          <w:sz w:val="18"/>
          <w:szCs w:val="18"/>
          <w:lang w:eastAsia="ar-SA"/>
        </w:rPr>
        <w:t xml:space="preserve">     (*</w:t>
      </w:r>
      <w:r w:rsidRPr="002906EA">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06EA">
        <w:rPr>
          <w:rFonts w:ascii="Tahoma" w:eastAsia="Times New Roman" w:hAnsi="Tahoma" w:cs="Tahoma"/>
          <w:sz w:val="18"/>
          <w:szCs w:val="18"/>
          <w:lang w:eastAsia="ar-SA"/>
        </w:rPr>
        <w:t>,</w:t>
      </w:r>
      <w:r w:rsidRPr="002906EA">
        <w:rPr>
          <w:rFonts w:ascii="Tahoma" w:eastAsia="Times New Roman" w:hAnsi="Tahoma" w:cs="Tahoma"/>
          <w:sz w:val="18"/>
          <w:szCs w:val="18"/>
          <w:lang w:val="x-none" w:eastAsia="ar-SA"/>
        </w:rPr>
        <w:t xml:space="preserve"> </w:t>
      </w:r>
      <w:r w:rsidRPr="002906EA">
        <w:rPr>
          <w:rFonts w:ascii="Tahoma" w:eastAsia="Times New Roman" w:hAnsi="Tahoma" w:cs="Tahoma"/>
          <w:sz w:val="18"/>
          <w:szCs w:val="18"/>
          <w:lang w:eastAsia="ar-SA"/>
        </w:rPr>
        <w:t>może wykreślić treść niniejszego oświadczenia)</w:t>
      </w:r>
    </w:p>
    <w:p w14:paraId="081E15E3" w14:textId="77777777" w:rsidR="00CC5192" w:rsidRPr="002906EA" w:rsidRDefault="00CC5192" w:rsidP="00CC5192">
      <w:pPr>
        <w:spacing w:after="0" w:line="240" w:lineRule="auto"/>
        <w:jc w:val="center"/>
        <w:rPr>
          <w:rFonts w:ascii="Tahoma" w:eastAsia="Times New Roman" w:hAnsi="Tahoma" w:cs="Tahoma"/>
          <w:bCs/>
          <w:sz w:val="18"/>
          <w:szCs w:val="18"/>
          <w:lang w:eastAsia="pl-PL"/>
        </w:rPr>
      </w:pPr>
      <w:r w:rsidRPr="002906EA">
        <w:rPr>
          <w:rFonts w:ascii="Tahoma" w:eastAsia="Times New Roman" w:hAnsi="Tahoma" w:cs="Tahoma"/>
          <w:bCs/>
          <w:sz w:val="18"/>
          <w:szCs w:val="18"/>
          <w:lang w:eastAsia="pl-PL"/>
        </w:rPr>
        <w:t xml:space="preserve">                                                         </w:t>
      </w:r>
    </w:p>
    <w:p w14:paraId="053A4FF4" w14:textId="77777777" w:rsidR="004F17FB" w:rsidRPr="002906EA" w:rsidRDefault="004F17FB" w:rsidP="00CC5192">
      <w:pPr>
        <w:suppressAutoHyphens/>
        <w:spacing w:after="0" w:line="240" w:lineRule="auto"/>
        <w:rPr>
          <w:rFonts w:ascii="Tahoma" w:eastAsia="Times New Roman" w:hAnsi="Tahoma" w:cs="Tahoma"/>
          <w:sz w:val="18"/>
          <w:szCs w:val="18"/>
          <w:lang w:eastAsia="ar-SA"/>
        </w:rPr>
      </w:pPr>
    </w:p>
    <w:p w14:paraId="63CB7205" w14:textId="77777777" w:rsidR="00EF4E90" w:rsidRPr="002906EA" w:rsidRDefault="00EF4E90" w:rsidP="00CC5192">
      <w:pPr>
        <w:suppressAutoHyphens/>
        <w:spacing w:after="0" w:line="240" w:lineRule="auto"/>
        <w:rPr>
          <w:rFonts w:ascii="Tahoma" w:eastAsia="Times New Roman" w:hAnsi="Tahoma" w:cs="Tahoma"/>
          <w:sz w:val="18"/>
          <w:szCs w:val="18"/>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7F31AD3" w14:textId="77777777" w:rsidR="004E13D7" w:rsidRDefault="004E13D7"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D9EA916"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60CE9FD3"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4658788B"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0B4C1681"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2A0ADEBF"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4A825D24"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497E433B"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12FAB58D"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0967D767"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19C428B0" w14:textId="77777777" w:rsidR="002906EA" w:rsidRDefault="002906EA"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37D3FAE6" w14:textId="6CC224F7" w:rsidR="003D2720" w:rsidRPr="00EB528D" w:rsidRDefault="003D2720" w:rsidP="003D2720">
      <w:pPr>
        <w:suppressAutoHyphens/>
        <w:spacing w:after="0" w:line="240" w:lineRule="auto"/>
        <w:rPr>
          <w:rFonts w:ascii="Tahoma" w:eastAsia="Times New Roman" w:hAnsi="Tahoma" w:cs="Tahoma"/>
          <w:sz w:val="20"/>
          <w:szCs w:val="20"/>
          <w:lang w:eastAsia="ar-SA"/>
        </w:rPr>
      </w:pPr>
      <w:bookmarkStart w:id="6" w:name="_Hlk93907909"/>
      <w:r w:rsidRPr="00EB528D">
        <w:rPr>
          <w:rFonts w:ascii="Tahoma" w:eastAsia="Times New Roman" w:hAnsi="Tahoma" w:cs="Tahoma"/>
          <w:sz w:val="20"/>
          <w:szCs w:val="20"/>
          <w:lang w:eastAsia="ar-SA"/>
        </w:rPr>
        <w:t>DZP.381.</w:t>
      </w:r>
      <w:r w:rsidR="00E0233C">
        <w:rPr>
          <w:rFonts w:ascii="Tahoma" w:eastAsia="Times New Roman" w:hAnsi="Tahoma" w:cs="Tahoma"/>
          <w:sz w:val="20"/>
          <w:szCs w:val="20"/>
          <w:lang w:eastAsia="ar-SA"/>
        </w:rPr>
        <w:t>6</w:t>
      </w:r>
      <w:r w:rsidR="002906EA">
        <w:rPr>
          <w:rFonts w:ascii="Tahoma" w:eastAsia="Times New Roman" w:hAnsi="Tahoma" w:cs="Tahoma"/>
          <w:sz w:val="20"/>
          <w:szCs w:val="20"/>
          <w:lang w:eastAsia="ar-SA"/>
        </w:rPr>
        <w:t>7</w:t>
      </w:r>
      <w:r w:rsidR="00B67E14">
        <w:rPr>
          <w:rFonts w:ascii="Tahoma" w:eastAsia="Times New Roman" w:hAnsi="Tahoma" w:cs="Tahoma"/>
          <w:sz w:val="20"/>
          <w:szCs w:val="20"/>
          <w:lang w:eastAsia="ar-SA"/>
        </w:rPr>
        <w:t>A.2023</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2FB88D16"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w:t>
      </w:r>
      <w:r w:rsidR="002906EA">
        <w:rPr>
          <w:rFonts w:ascii="Tahoma" w:eastAsia="Times New Roman" w:hAnsi="Tahoma" w:cs="Tahoma"/>
          <w:b/>
          <w:i/>
          <w:sz w:val="20"/>
          <w:szCs w:val="20"/>
          <w:lang w:eastAsia="pl-PL"/>
        </w:rPr>
        <w:t>produktu leczniczego - radioaktywnego</w:t>
      </w:r>
      <w:r>
        <w:rPr>
          <w:rFonts w:ascii="Tahoma" w:eastAsia="Times New Roman" w:hAnsi="Tahoma" w:cs="Tahoma"/>
          <w:b/>
          <w:i/>
          <w:sz w:val="20"/>
          <w:szCs w:val="20"/>
          <w:lang w:eastAsia="pl-PL"/>
        </w:rPr>
        <w:t xml:space="preserve">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37762973" w14:textId="4B20DF0B"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8A3C040" w14:textId="77777777" w:rsidR="002906EA" w:rsidRDefault="002906EA" w:rsidP="00EB48F3">
      <w:pPr>
        <w:suppressAutoHyphens/>
        <w:spacing w:after="0" w:line="240" w:lineRule="auto"/>
        <w:jc w:val="both"/>
        <w:rPr>
          <w:rFonts w:ascii="Tahoma" w:eastAsia="Times New Roman" w:hAnsi="Tahoma" w:cs="Tahoma"/>
          <w:iCs/>
          <w:sz w:val="20"/>
          <w:szCs w:val="20"/>
          <w:lang w:eastAsia="ar-SA"/>
        </w:rPr>
        <w:sectPr w:rsidR="002906EA" w:rsidSect="00B44026">
          <w:pgSz w:w="11906" w:h="16838" w:code="9"/>
          <w:pgMar w:top="397" w:right="1191" w:bottom="397" w:left="1191" w:header="709" w:footer="709" w:gutter="0"/>
          <w:cols w:space="708"/>
          <w:docGrid w:linePitch="360"/>
        </w:sectPr>
      </w:pPr>
    </w:p>
    <w:p w14:paraId="2A4544E4" w14:textId="30EC6F16" w:rsidR="003E392C" w:rsidRPr="003C3DBA" w:rsidRDefault="003E392C" w:rsidP="003E392C">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 xml:space="preserve">67A </w:t>
      </w:r>
      <w:r w:rsidRPr="003C3DBA">
        <w:rPr>
          <w:rFonts w:ascii="Tahoma" w:eastAsia="Times New Roman" w:hAnsi="Tahoma" w:cs="Tahoma"/>
          <w:sz w:val="20"/>
          <w:szCs w:val="16"/>
          <w:lang w:eastAsia="pl-PL"/>
        </w:rPr>
        <w:t>.202</w:t>
      </w:r>
      <w:r>
        <w:rPr>
          <w:rFonts w:ascii="Tahoma" w:eastAsia="Times New Roman" w:hAnsi="Tahoma" w:cs="Tahoma"/>
          <w:sz w:val="20"/>
          <w:szCs w:val="16"/>
          <w:lang w:eastAsia="pl-PL"/>
        </w:rPr>
        <w:t>3</w:t>
      </w:r>
    </w:p>
    <w:p w14:paraId="3E70B8F8" w14:textId="77777777" w:rsidR="003E392C" w:rsidRPr="003C3DBA" w:rsidRDefault="003E392C" w:rsidP="003E392C">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p>
    <w:p w14:paraId="0574C948" w14:textId="77777777" w:rsidR="003E392C" w:rsidRPr="003C3DBA" w:rsidRDefault="003E392C" w:rsidP="003E392C">
      <w:pPr>
        <w:keepNext/>
        <w:tabs>
          <w:tab w:val="left" w:pos="708"/>
        </w:tabs>
        <w:spacing w:after="0" w:line="240" w:lineRule="auto"/>
        <w:outlineLvl w:val="1"/>
        <w:rPr>
          <w:rFonts w:ascii="Tahoma" w:eastAsia="Times New Roman" w:hAnsi="Tahoma" w:cs="Tahoma"/>
          <w:color w:val="000000"/>
          <w:sz w:val="20"/>
          <w:szCs w:val="16"/>
          <w:lang w:eastAsia="pl-PL"/>
        </w:rPr>
      </w:pPr>
    </w:p>
    <w:p w14:paraId="6C5A71B2" w14:textId="77777777" w:rsidR="003E392C" w:rsidRPr="003C3DBA" w:rsidRDefault="003E392C" w:rsidP="003E392C">
      <w:pPr>
        <w:suppressAutoHyphens/>
        <w:overflowPunct w:val="0"/>
        <w:spacing w:after="0" w:line="240" w:lineRule="auto"/>
        <w:rPr>
          <w:rFonts w:ascii="Cambria" w:eastAsia="Cambria" w:hAnsi="Cambria" w:cs="Arial"/>
          <w:bCs/>
          <w:iCs/>
          <w:color w:val="00000A"/>
        </w:rPr>
      </w:pPr>
    </w:p>
    <w:p w14:paraId="64C8AFC0" w14:textId="77777777" w:rsidR="003E392C" w:rsidRPr="003C3DBA" w:rsidRDefault="003E392C" w:rsidP="003E392C">
      <w:pPr>
        <w:overflowPunct w:val="0"/>
        <w:spacing w:after="0" w:line="240" w:lineRule="auto"/>
        <w:jc w:val="center"/>
        <w:rPr>
          <w:rFonts w:ascii="Tahoma" w:eastAsia="Cambria" w:hAnsi="Tahoma" w:cs="Tahoma"/>
          <w:b/>
          <w:bCs/>
          <w:iCs/>
          <w:color w:val="00000A"/>
          <w:sz w:val="20"/>
          <w:szCs w:val="20"/>
          <w:lang w:eastAsia="ar-SA"/>
        </w:rPr>
      </w:pPr>
      <w:r w:rsidRPr="003C3DBA">
        <w:rPr>
          <w:rFonts w:ascii="Tahoma" w:eastAsia="Cambria" w:hAnsi="Tahoma" w:cs="Tahoma"/>
          <w:b/>
          <w:bCs/>
          <w:iCs/>
          <w:color w:val="00000A"/>
          <w:sz w:val="20"/>
          <w:szCs w:val="20"/>
          <w:lang w:eastAsia="ar-SA"/>
        </w:rPr>
        <w:t>FORMULARZ   CENOWY</w:t>
      </w:r>
    </w:p>
    <w:p w14:paraId="020B3CC9" w14:textId="77777777" w:rsidR="003E392C" w:rsidRPr="003C3DBA" w:rsidRDefault="003E392C" w:rsidP="003E392C">
      <w:pPr>
        <w:overflowPunct w:val="0"/>
        <w:spacing w:after="0"/>
        <w:jc w:val="center"/>
        <w:rPr>
          <w:rFonts w:ascii="Tahoma" w:eastAsia="Times New Roman" w:hAnsi="Tahoma" w:cs="Tahoma"/>
          <w:bCs/>
          <w:color w:val="00000A"/>
          <w:sz w:val="20"/>
          <w:szCs w:val="24"/>
          <w:lang w:eastAsia="ar-SA"/>
        </w:rPr>
      </w:pPr>
      <w:r w:rsidRPr="003C3DBA">
        <w:rPr>
          <w:rFonts w:ascii="Tahoma" w:eastAsia="Cambria" w:hAnsi="Tahoma" w:cs="Tahoma"/>
          <w:b/>
          <w:bCs/>
          <w:iCs/>
          <w:color w:val="00000A"/>
          <w:sz w:val="20"/>
          <w:szCs w:val="20"/>
          <w:lang w:eastAsia="ar-SA"/>
        </w:rPr>
        <w:t>WYSZCZEGÓLNIENIE  ASORTYMENTOWE  I  ILOŚCIOWE  PRZEDMIOTU  ZAMÓWIENIA</w:t>
      </w:r>
    </w:p>
    <w:p w14:paraId="04278AF1" w14:textId="77777777" w:rsidR="003E392C" w:rsidRPr="003C3DBA" w:rsidRDefault="003E392C" w:rsidP="003E392C">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w:t>
      </w:r>
    </w:p>
    <w:p w14:paraId="7C0A0190" w14:textId="77777777" w:rsidR="003E392C" w:rsidRPr="003C3DBA" w:rsidRDefault="003E392C" w:rsidP="003E392C">
      <w:pPr>
        <w:suppressAutoHyphens/>
        <w:overflowPunct w:val="0"/>
        <w:spacing w:after="0" w:line="240" w:lineRule="auto"/>
        <w:jc w:val="center"/>
        <w:rPr>
          <w:rFonts w:ascii="Tahoma" w:eastAsia="Times New Roman" w:hAnsi="Tahoma" w:cs="Tahoma"/>
          <w:b/>
          <w:color w:val="00000A"/>
          <w:sz w:val="20"/>
          <w:szCs w:val="20"/>
          <w:lang w:eastAsia="ar-SA"/>
        </w:rPr>
      </w:pPr>
      <w:r w:rsidRPr="00D3160C">
        <w:rPr>
          <w:rFonts w:ascii="Tahoma" w:eastAsia="Times New Roman" w:hAnsi="Tahoma" w:cs="Tahoma"/>
          <w:b/>
          <w:color w:val="00000A"/>
          <w:sz w:val="20"/>
          <w:szCs w:val="20"/>
          <w:lang w:eastAsia="ar-SA"/>
        </w:rPr>
        <w:t>lutet oksodotreotydu</w:t>
      </w:r>
    </w:p>
    <w:p w14:paraId="26EAE31F" w14:textId="77777777" w:rsidR="003E392C" w:rsidRPr="003C3DBA" w:rsidRDefault="003E392C" w:rsidP="003E392C">
      <w:pPr>
        <w:overflowPunct w:val="0"/>
        <w:spacing w:after="0" w:line="240" w:lineRule="auto"/>
        <w:jc w:val="center"/>
        <w:rPr>
          <w:rFonts w:ascii="Tahoma" w:eastAsia="Cambria" w:hAnsi="Tahoma" w:cs="Tahoma"/>
          <w:b/>
          <w:bCs/>
          <w:iCs/>
          <w:color w:val="00000A"/>
          <w:sz w:val="20"/>
          <w:szCs w:val="20"/>
          <w:lang w:eastAsia="ar-SA"/>
        </w:rPr>
      </w:pPr>
    </w:p>
    <w:p w14:paraId="1C17E385" w14:textId="77777777" w:rsidR="003E392C" w:rsidRPr="003C3DBA" w:rsidRDefault="003E392C" w:rsidP="003E392C">
      <w:pPr>
        <w:overflowPunct w:val="0"/>
        <w:spacing w:after="0" w:line="240" w:lineRule="auto"/>
        <w:jc w:val="center"/>
        <w:rPr>
          <w:rFonts w:ascii="Tahoma" w:eastAsia="Cambria" w:hAnsi="Tahoma" w:cs="Tahoma"/>
          <w:b/>
          <w:bCs/>
          <w:iCs/>
          <w:color w:val="00000A"/>
          <w:sz w:val="20"/>
          <w:szCs w:val="20"/>
          <w:lang w:eastAsia="ar-SA"/>
        </w:rPr>
      </w:pPr>
    </w:p>
    <w:p w14:paraId="5B803530" w14:textId="77777777" w:rsidR="003E392C" w:rsidRPr="003C3DBA" w:rsidRDefault="003E392C" w:rsidP="003E392C">
      <w:pPr>
        <w:suppressAutoHyphens/>
        <w:spacing w:after="0" w:line="240" w:lineRule="auto"/>
        <w:jc w:val="both"/>
        <w:rPr>
          <w:rFonts w:ascii="Tahoma" w:eastAsia="Times New Roman" w:hAnsi="Tahoma" w:cs="Tahoma"/>
          <w:iCs/>
          <w:sz w:val="20"/>
          <w:szCs w:val="20"/>
          <w:lang w:eastAsia="ar-SA"/>
        </w:rPr>
      </w:pPr>
    </w:p>
    <w:p w14:paraId="60856467" w14:textId="77777777" w:rsidR="003E392C" w:rsidRPr="003C3DBA" w:rsidRDefault="003E392C" w:rsidP="003E392C">
      <w:pPr>
        <w:overflowPunct w:val="0"/>
        <w:spacing w:after="0" w:line="240" w:lineRule="auto"/>
        <w:jc w:val="center"/>
        <w:rPr>
          <w:rFonts w:ascii="Tahoma" w:eastAsia="Cambria" w:hAnsi="Tahoma" w:cs="Tahoma"/>
          <w:b/>
          <w:bCs/>
          <w:iCs/>
          <w:color w:val="00000A"/>
          <w:sz w:val="20"/>
          <w:szCs w:val="20"/>
          <w:lang w:eastAsia="ar-SA"/>
        </w:rPr>
      </w:pPr>
    </w:p>
    <w:p w14:paraId="7869A7D2" w14:textId="77777777" w:rsidR="003E392C" w:rsidRPr="00D3160C" w:rsidRDefault="003E392C" w:rsidP="003E392C">
      <w:pPr>
        <w:spacing w:after="0" w:line="240" w:lineRule="auto"/>
        <w:jc w:val="center"/>
        <w:rPr>
          <w:rFonts w:ascii="Tahoma" w:eastAsia="Times New Roman" w:hAnsi="Tahoma" w:cs="Tahoma"/>
          <w:b/>
          <w:bCs/>
          <w:color w:val="000000"/>
          <w:sz w:val="20"/>
          <w:szCs w:val="20"/>
          <w:lang w:eastAsia="pl-PL"/>
        </w:rPr>
      </w:pPr>
      <w:r w:rsidRPr="00D3160C">
        <w:rPr>
          <w:rFonts w:ascii="Tahoma" w:eastAsia="Times New Roman" w:hAnsi="Tahoma" w:cs="Tahoma"/>
          <w:b/>
          <w:bCs/>
          <w:color w:val="000000"/>
          <w:sz w:val="20"/>
          <w:szCs w:val="20"/>
          <w:lang w:eastAsia="pl-PL"/>
        </w:rPr>
        <w:t>Produkt leczniczy stosowany w programie lekowym Leczenie pacjentów z nowotworami neuroendokrynnymi układu pokarmowego z zastosowaniem radiofarmaceutyków (ICD-10: C25.4, C17.0-C17.9, C18.0-C18.4) (załącznik B.139 do Obwieszczenia Ministra Zdrowia)</w:t>
      </w:r>
    </w:p>
    <w:p w14:paraId="08580C6B" w14:textId="77777777" w:rsidR="003E392C" w:rsidRPr="003C3DBA" w:rsidRDefault="003E392C" w:rsidP="003E392C">
      <w:pPr>
        <w:overflowPunct w:val="0"/>
        <w:spacing w:after="0" w:line="240" w:lineRule="auto"/>
        <w:jc w:val="center"/>
        <w:rPr>
          <w:rFonts w:ascii="Tahoma" w:eastAsia="Cambria" w:hAnsi="Tahoma" w:cs="Tahoma"/>
          <w:b/>
          <w:bCs/>
          <w:iCs/>
          <w:color w:val="00000A"/>
          <w:sz w:val="20"/>
          <w:szCs w:val="20"/>
          <w:lang w:eastAsia="ar-SA"/>
        </w:rPr>
      </w:pPr>
    </w:p>
    <w:p w14:paraId="34E1125B" w14:textId="77777777" w:rsidR="003E392C" w:rsidRPr="003C3DBA" w:rsidRDefault="003E392C" w:rsidP="003E392C">
      <w:pPr>
        <w:overflowPunct w:val="0"/>
        <w:spacing w:after="0" w:line="240" w:lineRule="auto"/>
        <w:jc w:val="center"/>
        <w:rPr>
          <w:rFonts w:ascii="Cambria" w:eastAsia="Cambria" w:hAnsi="Cambria" w:cs="Arial"/>
          <w:bCs/>
          <w:iCs/>
          <w:color w:val="00000A"/>
        </w:rPr>
      </w:pPr>
    </w:p>
    <w:tbl>
      <w:tblPr>
        <w:tblpPr w:leftFromText="141" w:rightFromText="141" w:vertAnchor="text" w:horzAnchor="margin" w:tblpXSpec="center" w:tblpY="-787"/>
        <w:tblW w:w="14867"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59"/>
        <w:gridCol w:w="1866"/>
        <w:gridCol w:w="1759"/>
        <w:gridCol w:w="1578"/>
        <w:gridCol w:w="2248"/>
        <w:gridCol w:w="1219"/>
        <w:gridCol w:w="567"/>
        <w:gridCol w:w="1000"/>
        <w:gridCol w:w="1123"/>
        <w:gridCol w:w="1014"/>
        <w:gridCol w:w="966"/>
        <w:gridCol w:w="968"/>
      </w:tblGrid>
      <w:tr w:rsidR="003E392C" w:rsidRPr="003C3DBA" w14:paraId="2DF738D6" w14:textId="77777777" w:rsidTr="00244AB9">
        <w:trPr>
          <w:trHeight w:val="365"/>
        </w:trPr>
        <w:tc>
          <w:tcPr>
            <w:tcW w:w="559" w:type="dxa"/>
            <w:tcBorders>
              <w:top w:val="single" w:sz="4" w:space="0" w:color="000001"/>
              <w:left w:val="single" w:sz="4" w:space="0" w:color="000001"/>
              <w:bottom w:val="single" w:sz="4" w:space="0" w:color="000001"/>
            </w:tcBorders>
            <w:shd w:val="clear" w:color="auto" w:fill="auto"/>
            <w:tcMar>
              <w:left w:w="20" w:type="dxa"/>
            </w:tcMar>
          </w:tcPr>
          <w:p w14:paraId="3989EA5A" w14:textId="77777777" w:rsidR="003E392C" w:rsidRPr="003C3DBA" w:rsidRDefault="003E392C" w:rsidP="00244AB9">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20"/>
                <w:szCs w:val="20"/>
              </w:rPr>
              <w:t>L.p</w:t>
            </w:r>
            <w:r w:rsidRPr="003C3DBA">
              <w:rPr>
                <w:rFonts w:ascii="Tahoma" w:eastAsia="Times New Roman" w:hAnsi="Tahoma" w:cs="Tahoma"/>
                <w:i/>
                <w:iCs/>
                <w:color w:val="00000A"/>
                <w:sz w:val="20"/>
                <w:szCs w:val="20"/>
              </w:rPr>
              <w:t>.</w:t>
            </w:r>
          </w:p>
        </w:tc>
        <w:tc>
          <w:tcPr>
            <w:tcW w:w="1866" w:type="dxa"/>
            <w:tcBorders>
              <w:top w:val="single" w:sz="4" w:space="0" w:color="000001"/>
              <w:left w:val="single" w:sz="4" w:space="0" w:color="000001"/>
              <w:bottom w:val="single" w:sz="4" w:space="0" w:color="000001"/>
            </w:tcBorders>
            <w:shd w:val="clear" w:color="auto" w:fill="auto"/>
            <w:tcMar>
              <w:left w:w="20" w:type="dxa"/>
            </w:tcMar>
          </w:tcPr>
          <w:p w14:paraId="7AF0487F" w14:textId="77777777" w:rsidR="003E392C" w:rsidRPr="003C3DBA" w:rsidRDefault="003E392C" w:rsidP="00244AB9">
            <w:pPr>
              <w:overflowPunct w:val="0"/>
              <w:spacing w:after="0" w:line="100" w:lineRule="atLeast"/>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Nazwa oferowanego produktu spełniająca wymogi zawarte w kolumnie 4,5,6 niniejszej tabeli *</w:t>
            </w:r>
          </w:p>
        </w:tc>
        <w:tc>
          <w:tcPr>
            <w:tcW w:w="1759" w:type="dxa"/>
            <w:tcBorders>
              <w:top w:val="single" w:sz="4" w:space="0" w:color="000001"/>
              <w:left w:val="single" w:sz="4" w:space="0" w:color="000001"/>
              <w:bottom w:val="single" w:sz="4" w:space="0" w:color="000001"/>
              <w:right w:val="single" w:sz="4" w:space="0" w:color="000001"/>
            </w:tcBorders>
          </w:tcPr>
          <w:p w14:paraId="6F1A2D1D" w14:textId="77777777" w:rsidR="003E392C" w:rsidRPr="003C3DBA" w:rsidRDefault="003E392C" w:rsidP="00244AB9">
            <w:pPr>
              <w:overflowPunct w:val="0"/>
              <w:spacing w:after="0" w:line="100" w:lineRule="atLeast"/>
              <w:jc w:val="center"/>
              <w:rPr>
                <w:rFonts w:ascii="Tahoma" w:eastAsia="Times New Roman" w:hAnsi="Tahoma" w:cs="Tahoma"/>
                <w:iCs/>
                <w:color w:val="00000A"/>
                <w:sz w:val="20"/>
                <w:szCs w:val="20"/>
              </w:rPr>
            </w:pPr>
            <w:r w:rsidRPr="003C3DBA">
              <w:rPr>
                <w:rFonts w:ascii="Tahoma" w:hAnsi="Tahoma" w:cs="Tahoma"/>
                <w:b/>
                <w:bCs/>
                <w:sz w:val="20"/>
                <w:szCs w:val="20"/>
              </w:rPr>
              <w:t>Kod EAN</w:t>
            </w:r>
          </w:p>
        </w:tc>
        <w:tc>
          <w:tcPr>
            <w:tcW w:w="1578" w:type="dxa"/>
            <w:tcBorders>
              <w:top w:val="single" w:sz="4" w:space="0" w:color="000001"/>
              <w:left w:val="single" w:sz="4" w:space="0" w:color="000001"/>
              <w:bottom w:val="single" w:sz="4" w:space="0" w:color="000001"/>
            </w:tcBorders>
            <w:shd w:val="clear" w:color="auto" w:fill="auto"/>
            <w:tcMar>
              <w:left w:w="20" w:type="dxa"/>
            </w:tcMar>
          </w:tcPr>
          <w:p w14:paraId="5A41B0D6" w14:textId="77777777" w:rsidR="003E392C" w:rsidRPr="00D3160C" w:rsidRDefault="003E392C" w:rsidP="00244AB9">
            <w:pPr>
              <w:overflowPunct w:val="0"/>
              <w:spacing w:after="0" w:line="100" w:lineRule="atLeast"/>
              <w:jc w:val="center"/>
              <w:rPr>
                <w:rFonts w:ascii="Tahoma" w:eastAsia="Times New Roman" w:hAnsi="Tahoma" w:cs="Tahoma"/>
                <w:iCs/>
                <w:color w:val="00000A"/>
                <w:sz w:val="16"/>
                <w:szCs w:val="16"/>
              </w:rPr>
            </w:pPr>
            <w:r w:rsidRPr="00D3160C">
              <w:rPr>
                <w:rFonts w:ascii="Tahoma" w:eastAsia="Times New Roman" w:hAnsi="Tahoma" w:cs="Tahoma"/>
                <w:iCs/>
                <w:color w:val="00000A"/>
                <w:sz w:val="16"/>
                <w:szCs w:val="16"/>
              </w:rPr>
              <w:t>Nazwa międzynarodowa</w:t>
            </w:r>
          </w:p>
        </w:tc>
        <w:tc>
          <w:tcPr>
            <w:tcW w:w="2248" w:type="dxa"/>
            <w:tcBorders>
              <w:top w:val="single" w:sz="4" w:space="0" w:color="000001"/>
              <w:left w:val="single" w:sz="4" w:space="0" w:color="000001"/>
              <w:bottom w:val="single" w:sz="4" w:space="0" w:color="000001"/>
            </w:tcBorders>
            <w:shd w:val="clear" w:color="auto" w:fill="auto"/>
            <w:tcMar>
              <w:left w:w="20" w:type="dxa"/>
            </w:tcMar>
          </w:tcPr>
          <w:p w14:paraId="2529F2F6"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Postać farmaceutyczna </w:t>
            </w:r>
          </w:p>
        </w:tc>
        <w:tc>
          <w:tcPr>
            <w:tcW w:w="1219" w:type="dxa"/>
            <w:tcBorders>
              <w:top w:val="single" w:sz="4" w:space="0" w:color="000001"/>
              <w:left w:val="single" w:sz="4" w:space="0" w:color="000001"/>
              <w:bottom w:val="single" w:sz="4" w:space="0" w:color="000001"/>
            </w:tcBorders>
            <w:shd w:val="clear" w:color="auto" w:fill="auto"/>
            <w:tcMar>
              <w:left w:w="20" w:type="dxa"/>
            </w:tcMar>
          </w:tcPr>
          <w:p w14:paraId="555A8C73"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Dawka</w:t>
            </w:r>
          </w:p>
        </w:tc>
        <w:tc>
          <w:tcPr>
            <w:tcW w:w="567" w:type="dxa"/>
            <w:tcBorders>
              <w:top w:val="single" w:sz="4" w:space="0" w:color="000001"/>
              <w:left w:val="single" w:sz="4" w:space="0" w:color="000001"/>
              <w:bottom w:val="single" w:sz="4" w:space="0" w:color="000001"/>
            </w:tcBorders>
            <w:shd w:val="clear" w:color="auto" w:fill="auto"/>
            <w:tcMar>
              <w:left w:w="20" w:type="dxa"/>
            </w:tcMar>
          </w:tcPr>
          <w:p w14:paraId="0DCB03C1"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J.m.</w:t>
            </w:r>
          </w:p>
        </w:tc>
        <w:tc>
          <w:tcPr>
            <w:tcW w:w="1000" w:type="dxa"/>
            <w:tcBorders>
              <w:top w:val="single" w:sz="4" w:space="0" w:color="000001"/>
              <w:left w:val="single" w:sz="4" w:space="0" w:color="000001"/>
              <w:bottom w:val="single" w:sz="4" w:space="0" w:color="000001"/>
            </w:tcBorders>
            <w:shd w:val="clear" w:color="auto" w:fill="auto"/>
            <w:tcMar>
              <w:left w:w="20" w:type="dxa"/>
            </w:tcMar>
          </w:tcPr>
          <w:p w14:paraId="405BACC6"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Wymagana ilość </w:t>
            </w:r>
          </w:p>
        </w:tc>
        <w:tc>
          <w:tcPr>
            <w:tcW w:w="1123" w:type="dxa"/>
            <w:tcBorders>
              <w:top w:val="single" w:sz="4" w:space="0" w:color="000001"/>
              <w:left w:val="single" w:sz="4" w:space="0" w:color="000001"/>
              <w:bottom w:val="single" w:sz="4" w:space="0" w:color="000001"/>
            </w:tcBorders>
            <w:shd w:val="clear" w:color="auto" w:fill="auto"/>
            <w:tcMar>
              <w:left w:w="20" w:type="dxa"/>
            </w:tcMar>
          </w:tcPr>
          <w:p w14:paraId="18000179"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Cena jednost.</w:t>
            </w:r>
          </w:p>
          <w:p w14:paraId="534534C1" w14:textId="77777777" w:rsidR="003E392C" w:rsidRPr="003C3DBA" w:rsidRDefault="003E392C" w:rsidP="00244AB9">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16"/>
                <w:szCs w:val="16"/>
              </w:rPr>
              <w:t xml:space="preserve">Netto                         </w:t>
            </w:r>
            <w:r>
              <w:rPr>
                <w:rFonts w:ascii="Tahoma" w:eastAsia="Times New Roman" w:hAnsi="Tahoma" w:cs="Tahoma"/>
                <w:b/>
                <w:iCs/>
                <w:color w:val="00000A"/>
                <w:sz w:val="16"/>
                <w:szCs w:val="16"/>
              </w:rPr>
              <w:t xml:space="preserve">za opakowanie </w:t>
            </w:r>
            <w:r w:rsidRPr="003C3DBA">
              <w:rPr>
                <w:rFonts w:ascii="Tahoma" w:eastAsia="Times New Roman" w:hAnsi="Tahoma" w:cs="Tahoma"/>
                <w:iCs/>
                <w:color w:val="00000A"/>
                <w:sz w:val="16"/>
                <w:szCs w:val="16"/>
              </w:rPr>
              <w:t xml:space="preserve"> </w:t>
            </w:r>
          </w:p>
        </w:tc>
        <w:tc>
          <w:tcPr>
            <w:tcW w:w="1014"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14:paraId="2105B9FD"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Wartość netto</w:t>
            </w:r>
          </w:p>
        </w:tc>
        <w:tc>
          <w:tcPr>
            <w:tcW w:w="966" w:type="dxa"/>
            <w:tcBorders>
              <w:top w:val="single" w:sz="4" w:space="0" w:color="000001"/>
              <w:left w:val="single" w:sz="4" w:space="0" w:color="000001"/>
              <w:bottom w:val="single" w:sz="4" w:space="0" w:color="000001"/>
              <w:right w:val="single" w:sz="4" w:space="0" w:color="000001"/>
            </w:tcBorders>
          </w:tcPr>
          <w:p w14:paraId="73BCEBA2"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Podatek VAT %</w:t>
            </w:r>
          </w:p>
        </w:tc>
        <w:tc>
          <w:tcPr>
            <w:tcW w:w="968" w:type="dxa"/>
            <w:tcBorders>
              <w:top w:val="single" w:sz="4" w:space="0" w:color="000001"/>
              <w:left w:val="single" w:sz="4" w:space="0" w:color="000001"/>
              <w:bottom w:val="single" w:sz="4" w:space="0" w:color="000001"/>
              <w:right w:val="single" w:sz="4" w:space="0" w:color="000001"/>
            </w:tcBorders>
          </w:tcPr>
          <w:p w14:paraId="31A8A60E" w14:textId="77777777" w:rsidR="003E392C" w:rsidRPr="003C3DBA" w:rsidRDefault="003E392C" w:rsidP="00244AB9">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Wartość brutto </w:t>
            </w:r>
          </w:p>
        </w:tc>
      </w:tr>
      <w:tr w:rsidR="003E392C" w:rsidRPr="003C3DBA" w14:paraId="764A609D" w14:textId="77777777" w:rsidTr="00244AB9">
        <w:trPr>
          <w:trHeight w:val="365"/>
        </w:trPr>
        <w:tc>
          <w:tcPr>
            <w:tcW w:w="559" w:type="dxa"/>
            <w:tcBorders>
              <w:top w:val="single" w:sz="4" w:space="0" w:color="000001"/>
              <w:left w:val="single" w:sz="4" w:space="0" w:color="000001"/>
              <w:bottom w:val="single" w:sz="4" w:space="0" w:color="000001"/>
            </w:tcBorders>
            <w:shd w:val="clear" w:color="auto" w:fill="auto"/>
            <w:tcMar>
              <w:left w:w="20" w:type="dxa"/>
            </w:tcMar>
          </w:tcPr>
          <w:p w14:paraId="004C23BE"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w:t>
            </w:r>
          </w:p>
        </w:tc>
        <w:tc>
          <w:tcPr>
            <w:tcW w:w="1866" w:type="dxa"/>
            <w:tcBorders>
              <w:top w:val="single" w:sz="4" w:space="0" w:color="000001"/>
              <w:left w:val="single" w:sz="4" w:space="0" w:color="000001"/>
              <w:bottom w:val="single" w:sz="4" w:space="0" w:color="000001"/>
            </w:tcBorders>
            <w:shd w:val="clear" w:color="auto" w:fill="auto"/>
            <w:tcMar>
              <w:left w:w="20" w:type="dxa"/>
            </w:tcMar>
          </w:tcPr>
          <w:p w14:paraId="0403D3C5"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2</w:t>
            </w:r>
          </w:p>
        </w:tc>
        <w:tc>
          <w:tcPr>
            <w:tcW w:w="1759" w:type="dxa"/>
            <w:tcBorders>
              <w:top w:val="single" w:sz="4" w:space="0" w:color="000001"/>
              <w:left w:val="single" w:sz="4" w:space="0" w:color="000001"/>
              <w:bottom w:val="single" w:sz="4" w:space="0" w:color="000001"/>
              <w:right w:val="single" w:sz="4" w:space="0" w:color="000001"/>
            </w:tcBorders>
          </w:tcPr>
          <w:p w14:paraId="21DFD255"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3</w:t>
            </w:r>
          </w:p>
        </w:tc>
        <w:tc>
          <w:tcPr>
            <w:tcW w:w="1578" w:type="dxa"/>
            <w:tcBorders>
              <w:top w:val="single" w:sz="4" w:space="0" w:color="000001"/>
              <w:left w:val="single" w:sz="4" w:space="0" w:color="000001"/>
              <w:bottom w:val="single" w:sz="4" w:space="0" w:color="000001"/>
            </w:tcBorders>
            <w:shd w:val="clear" w:color="auto" w:fill="auto"/>
            <w:tcMar>
              <w:left w:w="20" w:type="dxa"/>
            </w:tcMar>
          </w:tcPr>
          <w:p w14:paraId="2294DDB5" w14:textId="77777777" w:rsidR="003E392C" w:rsidRPr="00D3160C" w:rsidRDefault="003E392C" w:rsidP="00244AB9">
            <w:pPr>
              <w:overflowPunct w:val="0"/>
              <w:spacing w:after="0" w:line="100" w:lineRule="atLeast"/>
              <w:jc w:val="center"/>
              <w:rPr>
                <w:rFonts w:ascii="Tahoma" w:eastAsia="Times New Roman" w:hAnsi="Tahoma" w:cs="Tahoma"/>
                <w:b/>
                <w:bCs/>
                <w:iCs/>
                <w:color w:val="00000A"/>
                <w:sz w:val="16"/>
                <w:szCs w:val="16"/>
              </w:rPr>
            </w:pPr>
            <w:r w:rsidRPr="00D3160C">
              <w:rPr>
                <w:rFonts w:ascii="Tahoma" w:eastAsia="Times New Roman" w:hAnsi="Tahoma" w:cs="Tahoma"/>
                <w:b/>
                <w:bCs/>
                <w:iCs/>
                <w:color w:val="00000A"/>
                <w:sz w:val="16"/>
                <w:szCs w:val="16"/>
              </w:rPr>
              <w:t>4</w:t>
            </w:r>
          </w:p>
        </w:tc>
        <w:tc>
          <w:tcPr>
            <w:tcW w:w="2248" w:type="dxa"/>
            <w:tcBorders>
              <w:top w:val="single" w:sz="4" w:space="0" w:color="000001"/>
              <w:left w:val="single" w:sz="4" w:space="0" w:color="000001"/>
              <w:bottom w:val="single" w:sz="4" w:space="0" w:color="000001"/>
            </w:tcBorders>
            <w:shd w:val="clear" w:color="auto" w:fill="auto"/>
            <w:tcMar>
              <w:left w:w="20" w:type="dxa"/>
            </w:tcMar>
          </w:tcPr>
          <w:p w14:paraId="440A3FB5"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5</w:t>
            </w:r>
          </w:p>
        </w:tc>
        <w:tc>
          <w:tcPr>
            <w:tcW w:w="1219" w:type="dxa"/>
            <w:tcBorders>
              <w:top w:val="single" w:sz="4" w:space="0" w:color="000001"/>
              <w:left w:val="single" w:sz="4" w:space="0" w:color="000001"/>
              <w:bottom w:val="single" w:sz="4" w:space="0" w:color="000001"/>
            </w:tcBorders>
            <w:shd w:val="clear" w:color="auto" w:fill="auto"/>
            <w:tcMar>
              <w:left w:w="20" w:type="dxa"/>
            </w:tcMar>
          </w:tcPr>
          <w:p w14:paraId="583AE7DE"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6</w:t>
            </w:r>
          </w:p>
        </w:tc>
        <w:tc>
          <w:tcPr>
            <w:tcW w:w="567" w:type="dxa"/>
            <w:tcBorders>
              <w:top w:val="single" w:sz="4" w:space="0" w:color="000001"/>
              <w:left w:val="single" w:sz="4" w:space="0" w:color="000001"/>
              <w:bottom w:val="single" w:sz="4" w:space="0" w:color="000001"/>
            </w:tcBorders>
            <w:shd w:val="clear" w:color="auto" w:fill="auto"/>
            <w:tcMar>
              <w:left w:w="20" w:type="dxa"/>
            </w:tcMar>
          </w:tcPr>
          <w:p w14:paraId="66DE2163"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7</w:t>
            </w:r>
          </w:p>
        </w:tc>
        <w:tc>
          <w:tcPr>
            <w:tcW w:w="1000" w:type="dxa"/>
            <w:tcBorders>
              <w:top w:val="single" w:sz="4" w:space="0" w:color="000001"/>
              <w:left w:val="single" w:sz="4" w:space="0" w:color="000001"/>
              <w:bottom w:val="single" w:sz="4" w:space="0" w:color="000001"/>
            </w:tcBorders>
            <w:shd w:val="clear" w:color="auto" w:fill="auto"/>
            <w:tcMar>
              <w:left w:w="20" w:type="dxa"/>
            </w:tcMar>
          </w:tcPr>
          <w:p w14:paraId="72B3C8D3"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8</w:t>
            </w:r>
          </w:p>
        </w:tc>
        <w:tc>
          <w:tcPr>
            <w:tcW w:w="1123" w:type="dxa"/>
            <w:tcBorders>
              <w:top w:val="single" w:sz="4" w:space="0" w:color="000001"/>
              <w:left w:val="single" w:sz="4" w:space="0" w:color="000001"/>
              <w:bottom w:val="single" w:sz="4" w:space="0" w:color="000001"/>
            </w:tcBorders>
            <w:shd w:val="clear" w:color="auto" w:fill="auto"/>
            <w:tcMar>
              <w:left w:w="20" w:type="dxa"/>
            </w:tcMar>
          </w:tcPr>
          <w:p w14:paraId="762C3C23"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9</w:t>
            </w:r>
          </w:p>
        </w:tc>
        <w:tc>
          <w:tcPr>
            <w:tcW w:w="1014"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14:paraId="1A0C03BA"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10</w:t>
            </w:r>
          </w:p>
        </w:tc>
        <w:tc>
          <w:tcPr>
            <w:tcW w:w="966" w:type="dxa"/>
            <w:tcBorders>
              <w:top w:val="single" w:sz="4" w:space="0" w:color="000001"/>
              <w:left w:val="single" w:sz="4" w:space="0" w:color="000001"/>
              <w:bottom w:val="single" w:sz="4" w:space="0" w:color="000001"/>
              <w:right w:val="single" w:sz="4" w:space="0" w:color="000001"/>
            </w:tcBorders>
          </w:tcPr>
          <w:p w14:paraId="59F7B788"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11</w:t>
            </w:r>
          </w:p>
        </w:tc>
        <w:tc>
          <w:tcPr>
            <w:tcW w:w="968" w:type="dxa"/>
            <w:tcBorders>
              <w:top w:val="single" w:sz="4" w:space="0" w:color="000001"/>
              <w:left w:val="single" w:sz="4" w:space="0" w:color="000001"/>
              <w:bottom w:val="single" w:sz="4" w:space="0" w:color="000001"/>
              <w:right w:val="single" w:sz="4" w:space="0" w:color="000001"/>
            </w:tcBorders>
          </w:tcPr>
          <w:p w14:paraId="0F48C8C1" w14:textId="77777777" w:rsidR="003E392C" w:rsidRPr="003C3DBA" w:rsidRDefault="003E392C" w:rsidP="00244AB9">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12</w:t>
            </w:r>
          </w:p>
        </w:tc>
      </w:tr>
      <w:tr w:rsidR="003E392C" w:rsidRPr="003C3DBA" w14:paraId="16FE87D7" w14:textId="77777777" w:rsidTr="00244AB9">
        <w:trPr>
          <w:trHeight w:val="2327"/>
        </w:trPr>
        <w:tc>
          <w:tcPr>
            <w:tcW w:w="559" w:type="dxa"/>
            <w:tcBorders>
              <w:top w:val="single" w:sz="4" w:space="0" w:color="000001"/>
              <w:left w:val="single" w:sz="4" w:space="0" w:color="000001"/>
              <w:bottom w:val="single" w:sz="4" w:space="0" w:color="000001"/>
            </w:tcBorders>
            <w:shd w:val="clear" w:color="auto" w:fill="auto"/>
            <w:tcMar>
              <w:left w:w="20" w:type="dxa"/>
            </w:tcMar>
          </w:tcPr>
          <w:p w14:paraId="1E695256" w14:textId="77777777" w:rsidR="003E392C" w:rsidRPr="003C3DBA" w:rsidRDefault="003E392C" w:rsidP="00244AB9">
            <w:pPr>
              <w:overflowPunct w:val="0"/>
              <w:snapToGrid w:val="0"/>
              <w:spacing w:after="0" w:line="100" w:lineRule="atLeast"/>
              <w:jc w:val="both"/>
              <w:rPr>
                <w:rFonts w:ascii="Tahoma" w:eastAsia="Times New Roman" w:hAnsi="Tahoma" w:cs="Tahoma"/>
                <w:bCs/>
                <w:iCs/>
                <w:color w:val="00000A"/>
                <w:sz w:val="20"/>
                <w:szCs w:val="20"/>
              </w:rPr>
            </w:pPr>
            <w:r w:rsidRPr="003C3DBA">
              <w:rPr>
                <w:rFonts w:ascii="Tahoma" w:eastAsia="Times New Roman" w:hAnsi="Tahoma" w:cs="Tahoma"/>
                <w:bCs/>
                <w:iCs/>
                <w:color w:val="00000A"/>
                <w:sz w:val="20"/>
                <w:szCs w:val="20"/>
              </w:rPr>
              <w:t>1.</w:t>
            </w:r>
          </w:p>
          <w:p w14:paraId="498864EA" w14:textId="77777777" w:rsidR="003E392C" w:rsidRPr="003C3DBA" w:rsidRDefault="003E392C" w:rsidP="00244AB9">
            <w:pPr>
              <w:overflowPunct w:val="0"/>
              <w:snapToGrid w:val="0"/>
              <w:spacing w:after="0" w:line="100" w:lineRule="atLeast"/>
              <w:jc w:val="both"/>
              <w:rPr>
                <w:rFonts w:ascii="Tahoma" w:eastAsia="Times New Roman" w:hAnsi="Tahoma" w:cs="Tahoma"/>
                <w:bCs/>
                <w:iCs/>
                <w:color w:val="00000A"/>
                <w:sz w:val="20"/>
                <w:szCs w:val="20"/>
              </w:rPr>
            </w:pPr>
          </w:p>
        </w:tc>
        <w:tc>
          <w:tcPr>
            <w:tcW w:w="1866" w:type="dxa"/>
            <w:tcBorders>
              <w:top w:val="single" w:sz="4" w:space="0" w:color="000001"/>
              <w:left w:val="single" w:sz="4" w:space="0" w:color="000001"/>
              <w:bottom w:val="single" w:sz="4" w:space="0" w:color="000001"/>
            </w:tcBorders>
            <w:shd w:val="clear" w:color="auto" w:fill="auto"/>
            <w:tcMar>
              <w:left w:w="20" w:type="dxa"/>
            </w:tcMar>
            <w:vAlign w:val="center"/>
          </w:tcPr>
          <w:p w14:paraId="10943D47" w14:textId="77777777" w:rsidR="003E392C" w:rsidRPr="003C3DBA" w:rsidRDefault="003E392C" w:rsidP="00244AB9">
            <w:pPr>
              <w:overflowPunct w:val="0"/>
              <w:snapToGrid w:val="0"/>
              <w:jc w:val="center"/>
              <w:rPr>
                <w:rFonts w:ascii="Tahoma" w:eastAsia="Cambria" w:hAnsi="Tahoma" w:cs="Tahoma"/>
                <w:bCs/>
                <w:iCs/>
                <w:color w:val="00000A"/>
                <w:sz w:val="20"/>
                <w:szCs w:val="20"/>
              </w:rPr>
            </w:pPr>
          </w:p>
        </w:tc>
        <w:tc>
          <w:tcPr>
            <w:tcW w:w="1759" w:type="dxa"/>
            <w:tcBorders>
              <w:top w:val="single" w:sz="4" w:space="0" w:color="000001"/>
              <w:left w:val="single" w:sz="4" w:space="0" w:color="000001"/>
              <w:bottom w:val="single" w:sz="4" w:space="0" w:color="000001"/>
              <w:right w:val="single" w:sz="4" w:space="0" w:color="000001"/>
            </w:tcBorders>
          </w:tcPr>
          <w:p w14:paraId="21FF7F39" w14:textId="77777777" w:rsidR="003E392C" w:rsidRPr="003C3DBA" w:rsidRDefault="003E392C" w:rsidP="00244AB9">
            <w:pPr>
              <w:overflowPunct w:val="0"/>
              <w:spacing w:after="0" w:line="240" w:lineRule="auto"/>
              <w:jc w:val="center"/>
              <w:rPr>
                <w:rFonts w:ascii="Tahoma" w:eastAsia="Cambria" w:hAnsi="Tahoma" w:cs="Tahoma"/>
                <w:bCs/>
                <w:iCs/>
                <w:color w:val="00000A"/>
                <w:sz w:val="20"/>
                <w:szCs w:val="20"/>
              </w:rPr>
            </w:pPr>
          </w:p>
        </w:tc>
        <w:tc>
          <w:tcPr>
            <w:tcW w:w="1578" w:type="dxa"/>
            <w:tcBorders>
              <w:top w:val="single" w:sz="4" w:space="0" w:color="000001"/>
              <w:left w:val="single" w:sz="4" w:space="0" w:color="000001"/>
              <w:bottom w:val="single" w:sz="4" w:space="0" w:color="000001"/>
            </w:tcBorders>
            <w:shd w:val="clear" w:color="auto" w:fill="auto"/>
            <w:tcMar>
              <w:left w:w="20" w:type="dxa"/>
            </w:tcMar>
            <w:vAlign w:val="center"/>
          </w:tcPr>
          <w:p w14:paraId="61C06A8C" w14:textId="77777777" w:rsidR="003E392C" w:rsidRPr="00D3160C" w:rsidRDefault="003E392C" w:rsidP="00244AB9">
            <w:pPr>
              <w:overflowPunct w:val="0"/>
              <w:spacing w:after="0" w:line="240" w:lineRule="auto"/>
              <w:rPr>
                <w:rFonts w:ascii="Tahoma" w:eastAsia="Cambria" w:hAnsi="Tahoma" w:cs="Tahoma"/>
                <w:bCs/>
                <w:iCs/>
                <w:color w:val="00000A"/>
                <w:sz w:val="16"/>
                <w:szCs w:val="16"/>
              </w:rPr>
            </w:pPr>
            <w:r w:rsidRPr="00D3160C">
              <w:rPr>
                <w:rFonts w:ascii="Tahoma" w:eastAsia="Cambria" w:hAnsi="Tahoma" w:cs="Tahoma"/>
                <w:bCs/>
                <w:iCs/>
                <w:color w:val="00000A"/>
                <w:sz w:val="16"/>
                <w:szCs w:val="16"/>
              </w:rPr>
              <w:t>lutet oksodotreotydu</w:t>
            </w:r>
          </w:p>
        </w:tc>
        <w:tc>
          <w:tcPr>
            <w:tcW w:w="2248" w:type="dxa"/>
            <w:tcBorders>
              <w:top w:val="single" w:sz="4" w:space="0" w:color="000001"/>
              <w:left w:val="single" w:sz="4" w:space="0" w:color="000001"/>
              <w:bottom w:val="single" w:sz="4" w:space="0" w:color="000001"/>
            </w:tcBorders>
            <w:shd w:val="clear" w:color="auto" w:fill="auto"/>
            <w:tcMar>
              <w:left w:w="20" w:type="dxa"/>
            </w:tcMar>
            <w:vAlign w:val="center"/>
          </w:tcPr>
          <w:p w14:paraId="2DC46995" w14:textId="77777777" w:rsidR="003E392C" w:rsidRPr="00D3160C" w:rsidRDefault="003E392C" w:rsidP="00244AB9">
            <w:pPr>
              <w:overflowPunct w:val="0"/>
              <w:jc w:val="center"/>
              <w:rPr>
                <w:rFonts w:ascii="Tahoma" w:eastAsia="Cambria" w:hAnsi="Tahoma" w:cs="Tahoma"/>
                <w:bCs/>
                <w:iCs/>
                <w:color w:val="00000A"/>
                <w:sz w:val="18"/>
                <w:szCs w:val="18"/>
              </w:rPr>
            </w:pPr>
            <w:r w:rsidRPr="00D3160C">
              <w:rPr>
                <w:rFonts w:ascii="Tahoma" w:eastAsia="Cambria" w:hAnsi="Tahoma" w:cs="Tahoma"/>
                <w:bCs/>
                <w:iCs/>
                <w:color w:val="00000A"/>
                <w:sz w:val="18"/>
                <w:szCs w:val="18"/>
              </w:rPr>
              <w:t>370 MBq/ml roztwór do infuzji</w:t>
            </w:r>
          </w:p>
          <w:p w14:paraId="6313421B" w14:textId="77777777" w:rsidR="003E392C" w:rsidRPr="00D3160C" w:rsidRDefault="003E392C" w:rsidP="00244AB9">
            <w:pPr>
              <w:overflowPunct w:val="0"/>
              <w:jc w:val="center"/>
              <w:rPr>
                <w:rFonts w:ascii="Tahoma" w:eastAsia="Cambria" w:hAnsi="Tahoma" w:cs="Tahoma"/>
                <w:bCs/>
                <w:iCs/>
                <w:color w:val="00000A"/>
                <w:sz w:val="16"/>
                <w:szCs w:val="16"/>
              </w:rPr>
            </w:pPr>
            <w:r w:rsidRPr="00D3160C">
              <w:rPr>
                <w:rFonts w:ascii="Tahoma" w:eastAsia="Cambria" w:hAnsi="Tahoma" w:cs="Tahoma"/>
                <w:bCs/>
                <w:iCs/>
                <w:color w:val="00000A"/>
                <w:sz w:val="16"/>
                <w:szCs w:val="16"/>
              </w:rPr>
              <w:t>1 ml roztworu zawiera 370 MBq lutetu oksodotreotydu (177Lu) w dniu i godzinie kalibracji.</w:t>
            </w:r>
          </w:p>
          <w:p w14:paraId="74DC02DC" w14:textId="77777777" w:rsidR="003E392C" w:rsidRPr="003C3DBA" w:rsidRDefault="003E392C" w:rsidP="00244AB9">
            <w:pPr>
              <w:overflowPunct w:val="0"/>
              <w:jc w:val="center"/>
              <w:rPr>
                <w:rFonts w:ascii="Tahoma" w:eastAsia="Cambria" w:hAnsi="Tahoma" w:cs="Tahoma"/>
                <w:bCs/>
                <w:iCs/>
                <w:color w:val="00000A"/>
                <w:sz w:val="20"/>
                <w:szCs w:val="20"/>
              </w:rPr>
            </w:pPr>
            <w:r w:rsidRPr="00D3160C">
              <w:rPr>
                <w:rFonts w:ascii="Tahoma" w:eastAsia="Cambria" w:hAnsi="Tahoma" w:cs="Tahoma"/>
                <w:bCs/>
                <w:iCs/>
                <w:color w:val="00000A"/>
                <w:sz w:val="16"/>
                <w:szCs w:val="16"/>
              </w:rPr>
              <w:t>Produkt leczniczy radioaktywny.</w:t>
            </w:r>
          </w:p>
        </w:tc>
        <w:tc>
          <w:tcPr>
            <w:tcW w:w="1219" w:type="dxa"/>
            <w:tcBorders>
              <w:top w:val="single" w:sz="4" w:space="0" w:color="000001"/>
              <w:left w:val="single" w:sz="4" w:space="0" w:color="000001"/>
              <w:bottom w:val="single" w:sz="4" w:space="0" w:color="000001"/>
            </w:tcBorders>
            <w:shd w:val="clear" w:color="auto" w:fill="auto"/>
            <w:tcMar>
              <w:left w:w="20" w:type="dxa"/>
            </w:tcMar>
          </w:tcPr>
          <w:p w14:paraId="3766B832" w14:textId="77777777" w:rsidR="003E392C" w:rsidRPr="00D3160C" w:rsidRDefault="003E392C" w:rsidP="00244AB9">
            <w:pPr>
              <w:overflowPunct w:val="0"/>
              <w:rPr>
                <w:rFonts w:ascii="Tahoma" w:eastAsia="Cambria" w:hAnsi="Tahoma" w:cs="Tahoma"/>
                <w:bCs/>
                <w:iCs/>
                <w:color w:val="00000A"/>
                <w:sz w:val="20"/>
                <w:szCs w:val="20"/>
              </w:rPr>
            </w:pPr>
            <w:r w:rsidRPr="00D3160C">
              <w:rPr>
                <w:sz w:val="20"/>
                <w:szCs w:val="20"/>
              </w:rPr>
              <w:t>7400 MBq</w:t>
            </w:r>
          </w:p>
        </w:tc>
        <w:tc>
          <w:tcPr>
            <w:tcW w:w="567" w:type="dxa"/>
            <w:tcBorders>
              <w:top w:val="single" w:sz="4" w:space="0" w:color="000001"/>
              <w:left w:val="single" w:sz="4" w:space="0" w:color="000001"/>
              <w:bottom w:val="single" w:sz="4" w:space="0" w:color="000001"/>
            </w:tcBorders>
            <w:shd w:val="clear" w:color="auto" w:fill="auto"/>
            <w:tcMar>
              <w:left w:w="20" w:type="dxa"/>
            </w:tcMar>
          </w:tcPr>
          <w:p w14:paraId="7AB51CD1" w14:textId="77777777" w:rsidR="003E392C" w:rsidRPr="00D3160C" w:rsidRDefault="003E392C" w:rsidP="00244AB9">
            <w:pPr>
              <w:overflowPunct w:val="0"/>
              <w:jc w:val="center"/>
              <w:rPr>
                <w:rFonts w:ascii="Tahoma" w:eastAsia="Cambria" w:hAnsi="Tahoma" w:cs="Tahoma"/>
                <w:bCs/>
                <w:iCs/>
                <w:color w:val="000000"/>
                <w:sz w:val="20"/>
                <w:szCs w:val="20"/>
              </w:rPr>
            </w:pPr>
            <w:r w:rsidRPr="00D3160C">
              <w:rPr>
                <w:rFonts w:ascii="Tahoma" w:eastAsia="Cambria" w:hAnsi="Tahoma" w:cs="Tahoma"/>
                <w:bCs/>
                <w:iCs/>
                <w:color w:val="000000"/>
                <w:sz w:val="20"/>
                <w:szCs w:val="20"/>
              </w:rPr>
              <w:t>op</w:t>
            </w:r>
          </w:p>
        </w:tc>
        <w:tc>
          <w:tcPr>
            <w:tcW w:w="1000" w:type="dxa"/>
            <w:tcBorders>
              <w:top w:val="single" w:sz="4" w:space="0" w:color="000001"/>
              <w:left w:val="single" w:sz="4" w:space="0" w:color="000001"/>
              <w:bottom w:val="single" w:sz="4" w:space="0" w:color="000001"/>
            </w:tcBorders>
            <w:shd w:val="clear" w:color="auto" w:fill="auto"/>
            <w:tcMar>
              <w:left w:w="20" w:type="dxa"/>
            </w:tcMar>
          </w:tcPr>
          <w:p w14:paraId="111F8925" w14:textId="0B473DA1" w:rsidR="003E392C" w:rsidRPr="00D3160C" w:rsidRDefault="003E392C" w:rsidP="00244AB9">
            <w:pPr>
              <w:overflowPunct w:val="0"/>
              <w:snapToGrid w:val="0"/>
              <w:jc w:val="center"/>
              <w:rPr>
                <w:rFonts w:ascii="Tahoma" w:eastAsia="Times New Roman" w:hAnsi="Tahoma" w:cs="Tahoma"/>
                <w:bCs/>
                <w:iCs/>
                <w:color w:val="000000"/>
                <w:sz w:val="20"/>
                <w:szCs w:val="20"/>
              </w:rPr>
            </w:pPr>
            <w:r>
              <w:rPr>
                <w:rFonts w:ascii="Tahoma" w:eastAsia="Times New Roman" w:hAnsi="Tahoma" w:cs="Tahoma"/>
                <w:bCs/>
                <w:iCs/>
                <w:color w:val="000000"/>
                <w:sz w:val="20"/>
                <w:szCs w:val="20"/>
              </w:rPr>
              <w:t>80</w:t>
            </w:r>
          </w:p>
        </w:tc>
        <w:tc>
          <w:tcPr>
            <w:tcW w:w="1123" w:type="dxa"/>
            <w:tcBorders>
              <w:top w:val="single" w:sz="4" w:space="0" w:color="000001"/>
              <w:left w:val="single" w:sz="4" w:space="0" w:color="000001"/>
              <w:bottom w:val="single" w:sz="4" w:space="0" w:color="000001"/>
            </w:tcBorders>
            <w:shd w:val="clear" w:color="auto" w:fill="auto"/>
            <w:tcMar>
              <w:left w:w="20" w:type="dxa"/>
            </w:tcMar>
            <w:vAlign w:val="center"/>
          </w:tcPr>
          <w:p w14:paraId="01DD16CE" w14:textId="77777777" w:rsidR="003E392C" w:rsidRPr="003C3DBA" w:rsidRDefault="003E392C" w:rsidP="00244AB9">
            <w:pPr>
              <w:overflowPunct w:val="0"/>
              <w:snapToGrid w:val="0"/>
              <w:spacing w:after="0" w:line="100" w:lineRule="atLeast"/>
              <w:jc w:val="center"/>
              <w:rPr>
                <w:rFonts w:ascii="Cambria" w:eastAsia="Cambria" w:hAnsi="Cambria" w:cs="Arial"/>
                <w:bCs/>
                <w:iCs/>
                <w:color w:val="00000A"/>
              </w:rPr>
            </w:pPr>
          </w:p>
        </w:tc>
        <w:tc>
          <w:tcPr>
            <w:tcW w:w="1014"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14:paraId="19C07F75" w14:textId="77777777" w:rsidR="003E392C" w:rsidRPr="003C3DBA" w:rsidRDefault="003E392C" w:rsidP="00244AB9">
            <w:pPr>
              <w:overflowPunct w:val="0"/>
              <w:snapToGrid w:val="0"/>
              <w:spacing w:after="0" w:line="100" w:lineRule="atLeast"/>
              <w:jc w:val="center"/>
              <w:rPr>
                <w:rFonts w:ascii="Tahoma" w:eastAsia="Times New Roman" w:hAnsi="Tahoma" w:cs="Tahoma"/>
                <w:bCs/>
                <w:iCs/>
                <w:color w:val="00000A"/>
                <w:sz w:val="20"/>
                <w:szCs w:val="20"/>
                <w:lang w:val="de-DE"/>
              </w:rPr>
            </w:pPr>
          </w:p>
        </w:tc>
        <w:tc>
          <w:tcPr>
            <w:tcW w:w="966" w:type="dxa"/>
            <w:tcBorders>
              <w:top w:val="single" w:sz="4" w:space="0" w:color="000001"/>
              <w:left w:val="single" w:sz="4" w:space="0" w:color="000001"/>
              <w:bottom w:val="single" w:sz="4" w:space="0" w:color="000001"/>
              <w:right w:val="single" w:sz="4" w:space="0" w:color="000001"/>
            </w:tcBorders>
          </w:tcPr>
          <w:p w14:paraId="08E65BD7" w14:textId="77777777" w:rsidR="003E392C" w:rsidRPr="003C3DBA" w:rsidRDefault="003E392C" w:rsidP="00244AB9">
            <w:pPr>
              <w:overflowPunct w:val="0"/>
              <w:snapToGrid w:val="0"/>
              <w:spacing w:after="0" w:line="100" w:lineRule="atLeast"/>
              <w:jc w:val="center"/>
              <w:rPr>
                <w:rFonts w:ascii="Tahoma" w:eastAsia="Times New Roman" w:hAnsi="Tahoma" w:cs="Tahoma"/>
                <w:bCs/>
                <w:iCs/>
                <w:color w:val="00000A"/>
                <w:sz w:val="20"/>
                <w:szCs w:val="20"/>
                <w:lang w:val="de-DE"/>
              </w:rPr>
            </w:pPr>
          </w:p>
        </w:tc>
        <w:tc>
          <w:tcPr>
            <w:tcW w:w="968" w:type="dxa"/>
            <w:tcBorders>
              <w:top w:val="single" w:sz="4" w:space="0" w:color="000001"/>
              <w:left w:val="single" w:sz="4" w:space="0" w:color="000001"/>
              <w:bottom w:val="single" w:sz="4" w:space="0" w:color="000001"/>
              <w:right w:val="single" w:sz="4" w:space="0" w:color="000001"/>
            </w:tcBorders>
          </w:tcPr>
          <w:p w14:paraId="085DF14B" w14:textId="77777777" w:rsidR="003E392C" w:rsidRPr="003C3DBA" w:rsidRDefault="003E392C" w:rsidP="00244AB9">
            <w:pPr>
              <w:overflowPunct w:val="0"/>
              <w:snapToGrid w:val="0"/>
              <w:spacing w:after="0" w:line="100" w:lineRule="atLeast"/>
              <w:jc w:val="center"/>
              <w:rPr>
                <w:rFonts w:ascii="Tahoma" w:eastAsia="Times New Roman" w:hAnsi="Tahoma" w:cs="Tahoma"/>
                <w:bCs/>
                <w:iCs/>
                <w:color w:val="00000A"/>
                <w:sz w:val="20"/>
                <w:szCs w:val="20"/>
                <w:lang w:val="de-DE"/>
              </w:rPr>
            </w:pPr>
          </w:p>
        </w:tc>
      </w:tr>
    </w:tbl>
    <w:p w14:paraId="3DAE026C" w14:textId="77777777" w:rsidR="003E392C" w:rsidRDefault="003E392C" w:rsidP="003E392C">
      <w:pPr>
        <w:tabs>
          <w:tab w:val="left" w:pos="7920"/>
        </w:tabs>
        <w:spacing w:after="0" w:line="240" w:lineRule="auto"/>
        <w:rPr>
          <w:rFonts w:ascii="Tahoma" w:eastAsia="Cambria" w:hAnsi="Tahoma" w:cs="Tahoma"/>
          <w:sz w:val="20"/>
          <w:szCs w:val="20"/>
          <w:lang w:eastAsia="pl-PL"/>
        </w:rPr>
      </w:pPr>
    </w:p>
    <w:p w14:paraId="32E9BB75" w14:textId="77777777" w:rsidR="002906EA" w:rsidRDefault="002906EA" w:rsidP="00EB48F3">
      <w:pPr>
        <w:suppressAutoHyphens/>
        <w:spacing w:after="0" w:line="240" w:lineRule="auto"/>
        <w:jc w:val="both"/>
        <w:rPr>
          <w:rFonts w:ascii="Tahoma" w:eastAsia="Times New Roman" w:hAnsi="Tahoma" w:cs="Tahoma"/>
          <w:iCs/>
          <w:sz w:val="20"/>
          <w:szCs w:val="20"/>
          <w:lang w:eastAsia="ar-SA"/>
        </w:rPr>
      </w:pPr>
    </w:p>
    <w:p w14:paraId="051A3074" w14:textId="77777777" w:rsidR="002906EA" w:rsidRDefault="002906EA" w:rsidP="00EB48F3">
      <w:pPr>
        <w:suppressAutoHyphens/>
        <w:spacing w:after="0" w:line="240" w:lineRule="auto"/>
        <w:jc w:val="both"/>
        <w:rPr>
          <w:rFonts w:ascii="Tahoma" w:eastAsia="Times New Roman" w:hAnsi="Tahoma" w:cs="Tahoma"/>
          <w:iCs/>
          <w:sz w:val="20"/>
          <w:szCs w:val="20"/>
          <w:lang w:eastAsia="ar-SA"/>
        </w:rPr>
      </w:pPr>
    </w:p>
    <w:p w14:paraId="4714037C" w14:textId="77777777" w:rsidR="003E392C" w:rsidRDefault="003E392C" w:rsidP="00EB48F3">
      <w:pPr>
        <w:suppressAutoHyphens/>
        <w:spacing w:after="0" w:line="240" w:lineRule="auto"/>
        <w:jc w:val="both"/>
        <w:rPr>
          <w:rFonts w:ascii="Tahoma" w:eastAsia="Times New Roman" w:hAnsi="Tahoma" w:cs="Tahoma"/>
          <w:iCs/>
          <w:sz w:val="20"/>
          <w:szCs w:val="20"/>
          <w:lang w:eastAsia="ar-SA"/>
        </w:rPr>
        <w:sectPr w:rsidR="003E392C" w:rsidSect="002906EA">
          <w:pgSz w:w="16838" w:h="11906" w:orient="landscape" w:code="9"/>
          <w:pgMar w:top="1191" w:right="397" w:bottom="1191" w:left="397" w:header="709" w:footer="709" w:gutter="0"/>
          <w:cols w:space="708"/>
          <w:docGrid w:linePitch="360"/>
        </w:sectPr>
      </w:pPr>
    </w:p>
    <w:p w14:paraId="608C79EB" w14:textId="47B8F5A4"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lastRenderedPageBreak/>
        <w:t>DZP.381</w:t>
      </w:r>
      <w:r w:rsidR="00B67E14">
        <w:rPr>
          <w:rFonts w:ascii="Tahoma" w:eastAsia="Times New Roman" w:hAnsi="Tahoma" w:cs="Tahoma"/>
          <w:iCs/>
          <w:sz w:val="20"/>
          <w:szCs w:val="20"/>
          <w:lang w:eastAsia="ar-SA"/>
        </w:rPr>
        <w:t>.</w:t>
      </w:r>
      <w:r w:rsidR="00E0233C">
        <w:rPr>
          <w:rFonts w:ascii="Tahoma" w:eastAsia="Times New Roman" w:hAnsi="Tahoma" w:cs="Tahoma"/>
          <w:iCs/>
          <w:sz w:val="20"/>
          <w:szCs w:val="20"/>
          <w:lang w:eastAsia="ar-SA"/>
        </w:rPr>
        <w:t>6</w:t>
      </w:r>
      <w:r w:rsidR="002906EA">
        <w:rPr>
          <w:rFonts w:ascii="Tahoma" w:eastAsia="Times New Roman" w:hAnsi="Tahoma" w:cs="Tahoma"/>
          <w:iCs/>
          <w:sz w:val="20"/>
          <w:szCs w:val="20"/>
          <w:lang w:eastAsia="ar-SA"/>
        </w:rPr>
        <w:t>7</w:t>
      </w:r>
      <w:r w:rsidR="00B67E14">
        <w:rPr>
          <w:rFonts w:ascii="Tahoma" w:eastAsia="Times New Roman" w:hAnsi="Tahoma" w:cs="Tahoma"/>
          <w:iCs/>
          <w:sz w:val="20"/>
          <w:szCs w:val="20"/>
          <w:lang w:eastAsia="ar-SA"/>
        </w:rPr>
        <w:t>A.2023</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6A3C0DAD" w:rsidR="00EB48F3" w:rsidRDefault="00EB48F3" w:rsidP="002906EA">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 xml:space="preserve">Dostawę </w:t>
      </w:r>
      <w:r w:rsidR="002906EA">
        <w:rPr>
          <w:rFonts w:ascii="Tahoma" w:eastAsia="Times New Roman" w:hAnsi="Tahoma" w:cs="Tahoma"/>
          <w:b/>
          <w:sz w:val="20"/>
          <w:szCs w:val="20"/>
          <w:lang w:eastAsia="pl-PL"/>
        </w:rPr>
        <w:t xml:space="preserve">produktu leczniczego radioaktywnego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758A016E"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302BBD63"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lastRenderedPageBreak/>
        <w:t>DZP.381</w:t>
      </w:r>
      <w:r w:rsidR="00EB528D" w:rsidRPr="00EB528D">
        <w:rPr>
          <w:rFonts w:ascii="Tahoma" w:eastAsia="Times New Roman" w:hAnsi="Tahoma" w:cs="Tahoma"/>
          <w:sz w:val="20"/>
          <w:szCs w:val="20"/>
          <w:lang w:eastAsia="ar-SA"/>
        </w:rPr>
        <w:t>.</w:t>
      </w:r>
      <w:r w:rsidR="00E0233C">
        <w:rPr>
          <w:rFonts w:ascii="Tahoma" w:eastAsia="Times New Roman" w:hAnsi="Tahoma" w:cs="Tahoma"/>
          <w:sz w:val="20"/>
          <w:szCs w:val="20"/>
          <w:lang w:eastAsia="ar-SA"/>
        </w:rPr>
        <w:t>6</w:t>
      </w:r>
      <w:r w:rsidR="002906EA">
        <w:rPr>
          <w:rFonts w:ascii="Tahoma" w:eastAsia="Times New Roman" w:hAnsi="Tahoma" w:cs="Tahoma"/>
          <w:sz w:val="20"/>
          <w:szCs w:val="20"/>
          <w:lang w:eastAsia="ar-SA"/>
        </w:rPr>
        <w:t>7</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67E14">
        <w:rPr>
          <w:rFonts w:ascii="Tahoma" w:eastAsia="Times New Roman" w:hAnsi="Tahoma" w:cs="Tahoma"/>
          <w:sz w:val="20"/>
          <w:szCs w:val="20"/>
          <w:lang w:eastAsia="ar-SA"/>
        </w:rPr>
        <w:t>3</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66613CA0"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sidR="002906EA">
        <w:rPr>
          <w:rFonts w:ascii="Tahoma" w:eastAsia="Times New Roman" w:hAnsi="Tahoma" w:cs="Tahoma"/>
          <w:b/>
          <w:i/>
          <w:sz w:val="20"/>
          <w:szCs w:val="20"/>
          <w:lang w:eastAsia="pl-PL"/>
        </w:rPr>
        <w:t xml:space="preserve">produktu leczniczego – radioaktywnego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3E392C">
          <w:pgSz w:w="11906" w:h="16838" w:code="9"/>
          <w:pgMar w:top="397" w:right="1191" w:bottom="397" w:left="1191" w:header="709" w:footer="709" w:gutter="0"/>
          <w:cols w:space="708"/>
          <w:docGrid w:linePitch="360"/>
        </w:sectPr>
      </w:pPr>
    </w:p>
    <w:p w14:paraId="0A7A5D93" w14:textId="77777777" w:rsidR="004B5256" w:rsidRDefault="004B5256" w:rsidP="004B5256">
      <w:pPr>
        <w:tabs>
          <w:tab w:val="left" w:pos="7920"/>
        </w:tabs>
        <w:spacing w:after="0" w:line="240" w:lineRule="auto"/>
        <w:rPr>
          <w:rFonts w:ascii="Tahoma" w:eastAsia="Cambria" w:hAnsi="Tahoma" w:cs="Tahoma"/>
          <w:sz w:val="20"/>
          <w:szCs w:val="20"/>
          <w:lang w:eastAsia="pl-PL"/>
        </w:rPr>
      </w:pPr>
    </w:p>
    <w:p w14:paraId="65EC318B" w14:textId="4245CA9A" w:rsidR="004B5256" w:rsidRPr="004B5256" w:rsidRDefault="004B5256" w:rsidP="004B5256">
      <w:pPr>
        <w:tabs>
          <w:tab w:val="left" w:pos="7920"/>
        </w:tabs>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DZP.381.67A.2023</w:t>
      </w:r>
    </w:p>
    <w:p w14:paraId="3135872D"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Załącznik nr 7</w:t>
      </w:r>
    </w:p>
    <w:p w14:paraId="6D8F8F7A" w14:textId="77777777" w:rsidR="004B5256" w:rsidRPr="004B5256" w:rsidRDefault="004B5256" w:rsidP="004B5256">
      <w:pPr>
        <w:suppressAutoHyphens/>
        <w:spacing w:after="0" w:line="240" w:lineRule="auto"/>
        <w:jc w:val="center"/>
        <w:rPr>
          <w:rFonts w:ascii="Tahoma" w:eastAsia="Cambria" w:hAnsi="Tahoma" w:cs="Tahoma"/>
          <w:b/>
          <w:bCs/>
          <w:sz w:val="20"/>
          <w:szCs w:val="20"/>
          <w:lang w:eastAsia="ar-SA"/>
        </w:rPr>
      </w:pPr>
      <w:r w:rsidRPr="004B5256">
        <w:rPr>
          <w:rFonts w:ascii="Tahoma" w:eastAsia="Cambria" w:hAnsi="Tahoma" w:cs="Tahoma"/>
          <w:b/>
          <w:bCs/>
          <w:sz w:val="20"/>
          <w:szCs w:val="20"/>
          <w:lang w:eastAsia="ar-SA"/>
        </w:rPr>
        <w:t xml:space="preserve">UMOWA – wzór   </w:t>
      </w:r>
    </w:p>
    <w:p w14:paraId="37803C1F" w14:textId="77777777" w:rsidR="004B5256" w:rsidRPr="004B5256" w:rsidRDefault="004B5256" w:rsidP="004B5256">
      <w:pPr>
        <w:spacing w:after="0" w:line="240" w:lineRule="auto"/>
        <w:rPr>
          <w:rFonts w:ascii="Tahoma" w:eastAsia="Cambria" w:hAnsi="Tahoma" w:cs="Tahoma"/>
          <w:sz w:val="20"/>
          <w:szCs w:val="20"/>
          <w:lang w:eastAsia="pl-PL"/>
        </w:rPr>
      </w:pPr>
    </w:p>
    <w:p w14:paraId="4D8F5464"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Zawarta w dniu ................................ w  Katowicach pomiędzy:</w:t>
      </w:r>
    </w:p>
    <w:p w14:paraId="0EA56616" w14:textId="77777777" w:rsidR="004B5256" w:rsidRPr="004B5256" w:rsidRDefault="004B5256" w:rsidP="004B5256">
      <w:pPr>
        <w:spacing w:after="0" w:line="240" w:lineRule="auto"/>
        <w:jc w:val="both"/>
        <w:rPr>
          <w:rFonts w:ascii="Tahoma" w:eastAsia="Cambria" w:hAnsi="Tahoma" w:cs="Tahoma"/>
          <w:sz w:val="20"/>
          <w:szCs w:val="20"/>
          <w:lang w:eastAsia="pl-PL"/>
        </w:rPr>
      </w:pPr>
      <w:r w:rsidRPr="004B5256">
        <w:rPr>
          <w:rFonts w:ascii="Tahoma" w:eastAsia="Cambria" w:hAnsi="Tahoma" w:cs="Tahoma"/>
          <w:b/>
          <w:bCs/>
          <w:sz w:val="20"/>
          <w:szCs w:val="20"/>
          <w:lang w:eastAsia="pl-PL"/>
        </w:rPr>
        <w:t>Uniwersyteckim Centrum Klinicznym im. prof. K. Gibińskiego Śląskiego Uniwersytetu Medycznego w Katowicach</w:t>
      </w:r>
      <w:r w:rsidRPr="004B5256">
        <w:rPr>
          <w:rFonts w:ascii="Tahoma" w:eastAsia="Cambri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A4A00BA" w14:textId="77777777" w:rsidR="004B5256" w:rsidRPr="004B5256" w:rsidRDefault="004B5256" w:rsidP="004B5256">
      <w:pPr>
        <w:spacing w:after="12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zwanym w treści umowy Zamawiającym, </w:t>
      </w:r>
    </w:p>
    <w:p w14:paraId="040ADC41" w14:textId="77777777" w:rsidR="004B5256" w:rsidRPr="004B5256" w:rsidRDefault="004B5256" w:rsidP="004B5256">
      <w:pPr>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reprezentowanym przez:</w:t>
      </w:r>
    </w:p>
    <w:p w14:paraId="2FB066AE" w14:textId="77777777" w:rsidR="004B5256" w:rsidRPr="004B5256" w:rsidRDefault="004B5256" w:rsidP="004B5256">
      <w:pPr>
        <w:suppressAutoHyphens/>
        <w:spacing w:after="0" w:line="240" w:lineRule="auto"/>
        <w:rPr>
          <w:rFonts w:ascii="Tahoma" w:eastAsia="Cambria" w:hAnsi="Tahoma" w:cs="Tahoma"/>
          <w:sz w:val="20"/>
          <w:szCs w:val="20"/>
          <w:lang w:eastAsia="ar-SA"/>
        </w:rPr>
      </w:pPr>
    </w:p>
    <w:p w14:paraId="1D5FFC7A" w14:textId="77777777" w:rsidR="004B5256" w:rsidRPr="004B5256" w:rsidRDefault="004B5256" w:rsidP="004B5256">
      <w:pPr>
        <w:spacing w:after="0" w:line="240" w:lineRule="auto"/>
        <w:ind w:left="720"/>
        <w:jc w:val="center"/>
        <w:rPr>
          <w:rFonts w:ascii="Tahoma" w:eastAsia="Cambria" w:hAnsi="Tahoma" w:cs="Tahoma"/>
          <w:sz w:val="20"/>
          <w:szCs w:val="20"/>
          <w:lang w:eastAsia="pl-PL"/>
        </w:rPr>
      </w:pPr>
      <w:r w:rsidRPr="004B5256">
        <w:rPr>
          <w:rFonts w:ascii="Tahoma" w:eastAsia="Cambria" w:hAnsi="Tahoma" w:cs="Tahoma"/>
          <w:sz w:val="20"/>
          <w:szCs w:val="20"/>
          <w:lang w:eastAsia="pl-PL"/>
        </w:rPr>
        <w:t>a</w:t>
      </w:r>
    </w:p>
    <w:p w14:paraId="066590F1"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w:t>
      </w:r>
    </w:p>
    <w:p w14:paraId="01761F02"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z siedzibą: ……………………</w:t>
      </w:r>
    </w:p>
    <w:p w14:paraId="2B903EB5"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 xml:space="preserve">wpisanym do ................................. pod nr ………………….. </w:t>
      </w:r>
    </w:p>
    <w:p w14:paraId="57C27B52"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NIP                        REGON</w:t>
      </w:r>
    </w:p>
    <w:p w14:paraId="5B01EEC3"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 xml:space="preserve">zwanym w treści umowy Wykonawcą </w:t>
      </w:r>
    </w:p>
    <w:p w14:paraId="74319BA2" w14:textId="77777777" w:rsidR="004B5256" w:rsidRPr="004B5256" w:rsidRDefault="004B5256" w:rsidP="004B5256">
      <w:pPr>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reprezentowanym przez:</w:t>
      </w:r>
    </w:p>
    <w:p w14:paraId="2E2C8C2A" w14:textId="77777777" w:rsidR="004B5256" w:rsidRPr="004B5256" w:rsidRDefault="004B5256" w:rsidP="004B5256">
      <w:pPr>
        <w:widowControl w:val="0"/>
        <w:suppressAutoHyphens/>
        <w:spacing w:after="0" w:line="240" w:lineRule="auto"/>
        <w:rPr>
          <w:rFonts w:ascii="Tahoma" w:eastAsia="Cambria" w:hAnsi="Tahoma" w:cs="Tahoma"/>
          <w:sz w:val="20"/>
          <w:szCs w:val="20"/>
          <w:lang w:eastAsia="pl-PL"/>
        </w:rPr>
      </w:pPr>
    </w:p>
    <w:p w14:paraId="7E09F9E6" w14:textId="77777777" w:rsidR="004B5256" w:rsidRPr="004B5256" w:rsidRDefault="004B5256" w:rsidP="004B5256">
      <w:pPr>
        <w:widowControl w:val="0"/>
        <w:suppressAutoHyphens/>
        <w:spacing w:after="0" w:line="240" w:lineRule="auto"/>
        <w:rPr>
          <w:rFonts w:ascii="Tahoma" w:eastAsia="Cambria" w:hAnsi="Tahoma" w:cs="Tahoma"/>
          <w:sz w:val="20"/>
          <w:szCs w:val="20"/>
          <w:lang w:eastAsia="pl-PL"/>
        </w:rPr>
      </w:pPr>
      <w:r w:rsidRPr="004B5256">
        <w:rPr>
          <w:rFonts w:ascii="Tahoma" w:eastAsia="Cambria" w:hAnsi="Tahoma" w:cs="Tahoma"/>
          <w:sz w:val="20"/>
          <w:szCs w:val="20"/>
          <w:lang w:eastAsia="pl-PL"/>
        </w:rPr>
        <w:t>.........................................................</w:t>
      </w:r>
    </w:p>
    <w:p w14:paraId="5FC4FA2B" w14:textId="77777777" w:rsidR="004B5256" w:rsidRPr="004B5256" w:rsidRDefault="004B5256" w:rsidP="004B5256">
      <w:pPr>
        <w:suppressAutoHyphens/>
        <w:spacing w:after="0" w:line="240" w:lineRule="auto"/>
        <w:jc w:val="both"/>
        <w:rPr>
          <w:rFonts w:ascii="Tahoma" w:eastAsia="Cambria" w:hAnsi="Tahoma" w:cs="Tahoma"/>
          <w:sz w:val="20"/>
          <w:szCs w:val="20"/>
          <w:lang w:eastAsia="ar-SA"/>
        </w:rPr>
      </w:pPr>
      <w:r w:rsidRPr="004B5256">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2019r. Prawo zamówień publicznych (t.j. Dz. U. z 2022r. poz. 1710z póżn.zm) została zawarta umowa następującej treści:</w:t>
      </w:r>
    </w:p>
    <w:p w14:paraId="22BE2927" w14:textId="77777777" w:rsidR="004B5256" w:rsidRPr="004B5256" w:rsidRDefault="004B5256" w:rsidP="004B5256">
      <w:pPr>
        <w:spacing w:after="0" w:line="240" w:lineRule="auto"/>
        <w:jc w:val="center"/>
        <w:rPr>
          <w:rFonts w:ascii="Tahoma" w:eastAsia="Cambria" w:hAnsi="Tahoma" w:cs="Tahoma"/>
          <w:b/>
          <w:bCs/>
          <w:sz w:val="20"/>
          <w:szCs w:val="20"/>
          <w:lang w:eastAsia="pl-PL"/>
        </w:rPr>
      </w:pPr>
      <w:r w:rsidRPr="004B5256">
        <w:rPr>
          <w:rFonts w:ascii="Tahoma" w:eastAsia="Cambria" w:hAnsi="Tahoma" w:cs="Tahoma"/>
          <w:b/>
          <w:bCs/>
          <w:sz w:val="20"/>
          <w:szCs w:val="20"/>
          <w:lang w:eastAsia="pl-PL"/>
        </w:rPr>
        <w:t>§ 1.</w:t>
      </w:r>
    </w:p>
    <w:p w14:paraId="743D755D" w14:textId="77777777" w:rsidR="004B5256" w:rsidRPr="004B5256" w:rsidRDefault="004B5256" w:rsidP="004B5256">
      <w:pPr>
        <w:spacing w:after="0" w:line="240" w:lineRule="auto"/>
        <w:jc w:val="center"/>
        <w:rPr>
          <w:rFonts w:ascii="Tahoma" w:eastAsia="Cambria" w:hAnsi="Tahoma" w:cs="Tahoma"/>
          <w:b/>
          <w:bCs/>
          <w:sz w:val="20"/>
          <w:szCs w:val="20"/>
          <w:lang w:eastAsia="pl-PL"/>
        </w:rPr>
      </w:pPr>
      <w:r w:rsidRPr="004B5256">
        <w:rPr>
          <w:rFonts w:ascii="Tahoma" w:eastAsia="Cambria" w:hAnsi="Tahoma" w:cs="Tahoma"/>
          <w:b/>
          <w:bCs/>
          <w:sz w:val="20"/>
          <w:szCs w:val="20"/>
          <w:u w:val="single"/>
          <w:lang w:eastAsia="pl-PL"/>
        </w:rPr>
        <w:t xml:space="preserve">PRZEDMIOT UMOWY I PRAWO OPCJI </w:t>
      </w:r>
    </w:p>
    <w:p w14:paraId="74CC5376" w14:textId="77777777" w:rsidR="004B5256" w:rsidRPr="004B5256" w:rsidRDefault="004B5256" w:rsidP="004B5256">
      <w:pPr>
        <w:numPr>
          <w:ilvl w:val="0"/>
          <w:numId w:val="95"/>
        </w:numPr>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ar-SA"/>
        </w:rPr>
        <w:t>Na podstawie oferty wybranej w w/w postępowaniu Zamawiający zamawia</w:t>
      </w:r>
      <w:r w:rsidRPr="004B5256">
        <w:rPr>
          <w:rFonts w:ascii="Tahoma" w:eastAsia="Cambria" w:hAnsi="Tahoma" w:cs="Tahoma"/>
          <w:b/>
          <w:bCs/>
          <w:sz w:val="20"/>
          <w:szCs w:val="20"/>
          <w:lang w:eastAsia="ar-SA"/>
        </w:rPr>
        <w:t>,</w:t>
      </w:r>
      <w:r w:rsidRPr="004B5256">
        <w:rPr>
          <w:rFonts w:ascii="Tahoma" w:eastAsia="Cambria" w:hAnsi="Tahoma" w:cs="Tahoma"/>
          <w:sz w:val="20"/>
          <w:szCs w:val="20"/>
          <w:lang w:eastAsia="ar-SA"/>
        </w:rPr>
        <w:t xml:space="preserve"> a Wykonawca przyjmuje do wykonania sprzedaż i dostarczanie  Zamawiającemu </w:t>
      </w:r>
      <w:r w:rsidRPr="004B5256">
        <w:rPr>
          <w:rFonts w:ascii="Tahoma" w:eastAsia="Cambria" w:hAnsi="Tahoma" w:cs="Tahoma"/>
          <w:b/>
          <w:bCs/>
          <w:sz w:val="20"/>
          <w:szCs w:val="20"/>
          <w:lang w:eastAsia="pl-PL"/>
        </w:rPr>
        <w:t xml:space="preserve">produktu leczniczego- radioaktywnego, </w:t>
      </w:r>
      <w:r w:rsidRPr="004B5256">
        <w:rPr>
          <w:rFonts w:ascii="Tahoma" w:eastAsia="Cambria" w:hAnsi="Tahoma" w:cs="Tahoma"/>
          <w:sz w:val="20"/>
          <w:szCs w:val="20"/>
          <w:lang w:eastAsia="ar-SA"/>
        </w:rPr>
        <w:t>którego ilość, rodzaj i cena wymienione są w załączniku nr 1 (formularz asortymentowo-cenowy wybranej w postępowaniu oferty).</w:t>
      </w:r>
    </w:p>
    <w:p w14:paraId="5DAADE9C" w14:textId="77777777" w:rsidR="004B5256" w:rsidRPr="004B5256" w:rsidRDefault="004B5256" w:rsidP="004B5256">
      <w:pPr>
        <w:numPr>
          <w:ilvl w:val="0"/>
          <w:numId w:val="95"/>
        </w:numPr>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g)  niniejszej umowy.</w:t>
      </w:r>
    </w:p>
    <w:p w14:paraId="7F2AF38A" w14:textId="77777777" w:rsidR="004B5256" w:rsidRPr="004B5256" w:rsidRDefault="004B5256" w:rsidP="004B5256">
      <w:pPr>
        <w:numPr>
          <w:ilvl w:val="0"/>
          <w:numId w:val="95"/>
        </w:numPr>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2DCDF26A" w14:textId="77777777" w:rsidR="004B5256" w:rsidRPr="004B5256" w:rsidRDefault="004B5256" w:rsidP="004B5256">
      <w:pPr>
        <w:numPr>
          <w:ilvl w:val="0"/>
          <w:numId w:val="95"/>
        </w:numPr>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ar-SA"/>
        </w:rPr>
        <w:t>O fakcie skorzystania z prawa opcji Zamawiający poinformuję Wykonawcę w formie pisemnej.</w:t>
      </w:r>
    </w:p>
    <w:p w14:paraId="50D99AF5" w14:textId="77777777" w:rsidR="004B5256" w:rsidRPr="004B5256" w:rsidRDefault="004B5256" w:rsidP="004B5256">
      <w:pPr>
        <w:numPr>
          <w:ilvl w:val="0"/>
          <w:numId w:val="95"/>
        </w:numPr>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ar-SA"/>
        </w:rPr>
        <w:t xml:space="preserve">Zamawiający </w:t>
      </w:r>
      <w:r w:rsidRPr="004B5256">
        <w:rPr>
          <w:rFonts w:ascii="Tahoma" w:eastAsia="Cambria" w:hAnsi="Tahoma" w:cs="Tahoma"/>
          <w:sz w:val="20"/>
          <w:szCs w:val="20"/>
          <w:shd w:val="clear" w:color="auto" w:fill="FFFFFF"/>
          <w:lang w:eastAsia="ar-SA"/>
        </w:rPr>
        <w:t>może skorzystać z dowolnej liczby opcji przy czym łączna wartość zwiększeń wprowadzonych w ramach prawa opcji nie może przekroczyć 50% maksymalnej wartości</w:t>
      </w:r>
      <w:r w:rsidRPr="004B5256">
        <w:rPr>
          <w:rFonts w:ascii="Tahoma" w:eastAsia="Cambria" w:hAnsi="Tahoma" w:cs="Tahoma"/>
          <w:sz w:val="20"/>
          <w:szCs w:val="20"/>
          <w:lang w:eastAsia="ar-SA"/>
        </w:rPr>
        <w:t xml:space="preserve"> umowy brutto, o której mowa w § 3. ust. 1 niniejszej umowy. </w:t>
      </w:r>
    </w:p>
    <w:p w14:paraId="471A89A9" w14:textId="77777777" w:rsidR="004B5256" w:rsidRPr="004B5256" w:rsidRDefault="004B5256" w:rsidP="004B5256">
      <w:pPr>
        <w:numPr>
          <w:ilvl w:val="0"/>
          <w:numId w:val="95"/>
        </w:numPr>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601FFE5F" w14:textId="77777777" w:rsidR="004B5256" w:rsidRPr="004B5256" w:rsidRDefault="004B5256" w:rsidP="004B5256">
      <w:pPr>
        <w:numPr>
          <w:ilvl w:val="0"/>
          <w:numId w:val="95"/>
        </w:numPr>
        <w:spacing w:after="0" w:line="240" w:lineRule="auto"/>
        <w:contextualSpacing/>
        <w:jc w:val="both"/>
        <w:rPr>
          <w:rFonts w:ascii="Tahoma" w:eastAsia="Cambria" w:hAnsi="Tahoma" w:cs="Tahoma"/>
          <w:sz w:val="20"/>
          <w:szCs w:val="20"/>
          <w:lang w:eastAsia="ar-SA"/>
        </w:rPr>
      </w:pPr>
      <w:r w:rsidRPr="004B5256">
        <w:rPr>
          <w:rFonts w:ascii="Tahoma" w:eastAsia="Calibri"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466E6485" w14:textId="77777777" w:rsidR="004B5256" w:rsidRPr="004B5256" w:rsidRDefault="004B5256" w:rsidP="004B5256">
      <w:pPr>
        <w:spacing w:after="0" w:line="240" w:lineRule="auto"/>
        <w:jc w:val="both"/>
        <w:rPr>
          <w:rFonts w:ascii="Tahoma" w:eastAsia="Cambria" w:hAnsi="Tahoma" w:cs="Tahoma"/>
          <w:sz w:val="20"/>
          <w:szCs w:val="20"/>
          <w:lang w:eastAsia="ar-SA"/>
        </w:rPr>
      </w:pPr>
    </w:p>
    <w:p w14:paraId="14130C46" w14:textId="77777777" w:rsidR="004B5256" w:rsidRPr="004B5256" w:rsidRDefault="004B5256" w:rsidP="004B5256">
      <w:pPr>
        <w:widowControl w:val="0"/>
        <w:suppressAutoHyphens/>
        <w:spacing w:after="0" w:line="240" w:lineRule="auto"/>
        <w:jc w:val="center"/>
        <w:rPr>
          <w:rFonts w:ascii="Tahoma" w:eastAsia="Cambria" w:hAnsi="Tahoma" w:cs="Tahoma"/>
          <w:b/>
          <w:bCs/>
          <w:sz w:val="20"/>
          <w:szCs w:val="20"/>
          <w:lang w:eastAsia="ar-SA"/>
        </w:rPr>
      </w:pPr>
      <w:r w:rsidRPr="004B5256">
        <w:rPr>
          <w:rFonts w:ascii="Tahoma" w:eastAsia="Cambria" w:hAnsi="Tahoma" w:cs="Tahoma"/>
          <w:b/>
          <w:bCs/>
          <w:sz w:val="20"/>
          <w:szCs w:val="20"/>
          <w:lang w:eastAsia="ar-SA"/>
        </w:rPr>
        <w:t>§ 2.</w:t>
      </w:r>
    </w:p>
    <w:p w14:paraId="39CA979F" w14:textId="77777777" w:rsidR="004B5256" w:rsidRPr="004B5256" w:rsidRDefault="004B5256" w:rsidP="004B5256">
      <w:pPr>
        <w:suppressAutoHyphens/>
        <w:spacing w:after="0" w:line="240" w:lineRule="auto"/>
        <w:jc w:val="center"/>
        <w:rPr>
          <w:rFonts w:ascii="Tahoma" w:eastAsia="Cambria" w:hAnsi="Tahoma" w:cs="Tahoma"/>
          <w:b/>
          <w:bCs/>
          <w:sz w:val="20"/>
          <w:szCs w:val="20"/>
          <w:u w:val="single"/>
          <w:lang w:eastAsia="ar-SA"/>
        </w:rPr>
      </w:pPr>
      <w:r w:rsidRPr="004B5256">
        <w:rPr>
          <w:rFonts w:ascii="Tahoma" w:eastAsia="Cambria" w:hAnsi="Tahoma" w:cs="Tahoma"/>
          <w:b/>
          <w:bCs/>
          <w:sz w:val="20"/>
          <w:szCs w:val="20"/>
          <w:u w:val="single"/>
          <w:lang w:eastAsia="ar-SA"/>
        </w:rPr>
        <w:t>WARUNKI REALIZACJI UMOWY</w:t>
      </w:r>
    </w:p>
    <w:p w14:paraId="2C277F76" w14:textId="77777777" w:rsidR="004B5256" w:rsidRPr="004B5256" w:rsidRDefault="004B5256" w:rsidP="004B5256">
      <w:pPr>
        <w:widowControl w:val="0"/>
        <w:numPr>
          <w:ilvl w:val="0"/>
          <w:numId w:val="47"/>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Wykonawca zobowiązuje się realizować umowę zgodnie z:</w:t>
      </w:r>
    </w:p>
    <w:p w14:paraId="02519D66" w14:textId="77777777" w:rsidR="004B5256" w:rsidRPr="004B5256" w:rsidRDefault="004B5256" w:rsidP="004B5256">
      <w:pPr>
        <w:numPr>
          <w:ilvl w:val="1"/>
          <w:numId w:val="44"/>
        </w:numPr>
        <w:tabs>
          <w:tab w:val="num" w:pos="360"/>
          <w:tab w:val="num" w:pos="709"/>
        </w:tabs>
        <w:spacing w:after="0" w:line="240" w:lineRule="auto"/>
        <w:ind w:left="709" w:hanging="283"/>
        <w:jc w:val="both"/>
        <w:rPr>
          <w:rFonts w:ascii="Tahoma" w:eastAsia="Cambria" w:hAnsi="Tahoma" w:cs="Tahoma"/>
          <w:sz w:val="20"/>
          <w:szCs w:val="20"/>
          <w:lang w:eastAsia="pl-PL"/>
        </w:rPr>
      </w:pPr>
      <w:r w:rsidRPr="004B5256">
        <w:rPr>
          <w:rFonts w:ascii="Tahoma" w:eastAsia="Cambria" w:hAnsi="Tahoma" w:cs="Tahoma"/>
          <w:sz w:val="20"/>
          <w:szCs w:val="20"/>
          <w:lang w:eastAsia="pl-PL"/>
        </w:rPr>
        <w:t>obowiązującymi przepisami prawa, a w szczególności zgodnie z ustawą z dnia 6 września 2001r. Prawo farmaceutyczne (t.j. Dz. U. z 2022 poz. 2301 z późn. zm., dalej „prawo farmaceutyczne”) oraz zgodnie z ustawą z dnia 29.11.2000 r Prawo atomowe ( t.j Dz.U 2023 poz. 1173 z późn. zm., dalej „prawo atomowe”)</w:t>
      </w:r>
    </w:p>
    <w:p w14:paraId="10100921" w14:textId="77777777" w:rsidR="004B5256" w:rsidRPr="004B5256" w:rsidRDefault="004B5256" w:rsidP="004B5256">
      <w:pPr>
        <w:numPr>
          <w:ilvl w:val="1"/>
          <w:numId w:val="44"/>
        </w:numPr>
        <w:tabs>
          <w:tab w:val="num" w:pos="360"/>
          <w:tab w:val="num" w:pos="709"/>
        </w:tabs>
        <w:spacing w:after="0" w:line="240" w:lineRule="auto"/>
        <w:ind w:left="709" w:hanging="283"/>
        <w:jc w:val="both"/>
        <w:rPr>
          <w:rFonts w:ascii="Tahoma" w:eastAsia="Cambria" w:hAnsi="Tahoma" w:cs="Tahoma"/>
          <w:sz w:val="20"/>
          <w:szCs w:val="20"/>
          <w:lang w:eastAsia="pl-PL"/>
        </w:rPr>
      </w:pPr>
      <w:r w:rsidRPr="004B5256">
        <w:rPr>
          <w:rFonts w:ascii="Tahoma" w:eastAsia="Cambria" w:hAnsi="Tahoma" w:cs="Tahoma"/>
          <w:sz w:val="20"/>
          <w:szCs w:val="20"/>
          <w:lang w:eastAsia="pl-PL"/>
        </w:rPr>
        <w:t>warunkami wynikającymi z treści Specyfikacji Warunków Zamówienia.</w:t>
      </w:r>
    </w:p>
    <w:p w14:paraId="523AFDDF" w14:textId="77777777" w:rsidR="004B5256" w:rsidRPr="004B5256" w:rsidRDefault="004B5256" w:rsidP="004B5256">
      <w:pPr>
        <w:widowControl w:val="0"/>
        <w:numPr>
          <w:ilvl w:val="2"/>
          <w:numId w:val="44"/>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Dostarczane produkty lecznicze powinny być przez Wykonawcę odpowiednio opakowane i oznakowane (tj. muszą posiadać oznakowanie informujące o nazwie,  dacie ważności, nazwie producenta, numerze serii).</w:t>
      </w:r>
    </w:p>
    <w:p w14:paraId="3C2A3E69" w14:textId="77777777" w:rsidR="004B5256" w:rsidRPr="004B5256" w:rsidRDefault="004B5256" w:rsidP="004B5256">
      <w:pPr>
        <w:widowControl w:val="0"/>
        <w:numPr>
          <w:ilvl w:val="2"/>
          <w:numId w:val="44"/>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rPr>
        <w:t xml:space="preserve">Transport produktu leczniczego-radioaktywnego powinien przebiegać z uwzględnieniem wymogów przewidzianych w przepisach ustawy prawo farmaceutyczne </w:t>
      </w:r>
      <w:r w:rsidRPr="004B5256">
        <w:rPr>
          <w:rFonts w:ascii="Calibri" w:eastAsia="Calibri" w:hAnsi="Calibri" w:cs="Times New Roman"/>
        </w:rPr>
        <w:t xml:space="preserve"> </w:t>
      </w:r>
      <w:r w:rsidRPr="004B5256">
        <w:rPr>
          <w:rFonts w:ascii="Tahoma" w:eastAsia="Cambria" w:hAnsi="Tahoma" w:cs="Tahoma"/>
          <w:sz w:val="20"/>
          <w:szCs w:val="20"/>
        </w:rPr>
        <w:t>oraz zgodnie z ustawą Prawo atomowe  oraz aktów wykonawczych do tych ustaw</w:t>
      </w:r>
      <w:r w:rsidRPr="004B5256">
        <w:rPr>
          <w:rFonts w:ascii="Tahoma" w:eastAsia="Cambria" w:hAnsi="Tahoma" w:cs="Tahoma"/>
          <w:sz w:val="20"/>
          <w:szCs w:val="20"/>
          <w:lang w:eastAsia="pl-PL"/>
        </w:rPr>
        <w:t xml:space="preserve"> i w warunkach zgodnych z zaleceniami producenta.</w:t>
      </w:r>
    </w:p>
    <w:p w14:paraId="3BA91949" w14:textId="77777777" w:rsidR="004B5256" w:rsidRPr="004B5256" w:rsidRDefault="004B5256" w:rsidP="004B5256">
      <w:pPr>
        <w:numPr>
          <w:ilvl w:val="2"/>
          <w:numId w:val="44"/>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lastRenderedPageBreak/>
        <w:t>Data ważności produktu leczniczego – radioaktywnego : 72 godziny od daty i godziny kalibracji rozumianej jako data i godzina produkcji.</w:t>
      </w:r>
    </w:p>
    <w:p w14:paraId="613BE8DF" w14:textId="77777777" w:rsidR="004B5256" w:rsidRPr="004B5256" w:rsidRDefault="004B5256" w:rsidP="004B5256">
      <w:pPr>
        <w:widowControl w:val="0"/>
        <w:numPr>
          <w:ilvl w:val="2"/>
          <w:numId w:val="44"/>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Każdorazowa dostawa częściowa zamówionych produktów leczniczych-radioaktywnych  odbywać się będzie na podstawie zamówień składanych na dedykowanym formularzu Wykonawcy minimum 12 dni kalendarzowych przed planowanym terminem infuzji. Wykonawca jest zobowiązany do potwierdzenia terminu realizacji po otrzymaniu od Zamawiającego zamówienia.</w:t>
      </w:r>
    </w:p>
    <w:p w14:paraId="5261ADAB" w14:textId="77777777" w:rsidR="004B5256" w:rsidRPr="004B5256" w:rsidRDefault="004B5256" w:rsidP="004B5256">
      <w:pPr>
        <w:widowControl w:val="0"/>
        <w:numPr>
          <w:ilvl w:val="2"/>
          <w:numId w:val="44"/>
        </w:numPr>
        <w:suppressAutoHyphens/>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pl-PL"/>
        </w:rPr>
        <w:t xml:space="preserve">Wykonawca upoważnia do przyjmowania zamówień na dostawy częściowe …..............................Zamówienia będą składane Wykonawcy za pośrednictwem poczty e-mail na adres ………………………………. </w:t>
      </w:r>
    </w:p>
    <w:p w14:paraId="0850603A" w14:textId="77777777" w:rsidR="004B5256" w:rsidRPr="004B5256" w:rsidRDefault="004B5256" w:rsidP="004B5256">
      <w:pPr>
        <w:numPr>
          <w:ilvl w:val="2"/>
          <w:numId w:val="44"/>
        </w:numPr>
        <w:spacing w:after="160" w:line="259" w:lineRule="auto"/>
        <w:contextualSpacing/>
        <w:rPr>
          <w:rFonts w:ascii="Tahoma" w:eastAsia="Cambria" w:hAnsi="Tahoma" w:cs="Tahoma"/>
          <w:sz w:val="20"/>
          <w:szCs w:val="20"/>
        </w:rPr>
      </w:pPr>
      <w:r w:rsidRPr="004B5256">
        <w:rPr>
          <w:rFonts w:ascii="Tahoma" w:eastAsia="Cambria" w:hAnsi="Tahoma" w:cs="Tahoma"/>
          <w:sz w:val="20"/>
          <w:szCs w:val="20"/>
        </w:rPr>
        <w:t xml:space="preserve">Zamawiający upoważnia do składania zamówień na dostawy częściowe pracowników Zakładu Medycyny Nuklearnej </w:t>
      </w:r>
      <w:bookmarkStart w:id="10" w:name="_Hlk139523218"/>
      <w:r w:rsidRPr="004B5256">
        <w:rPr>
          <w:rFonts w:ascii="Tahoma" w:eastAsia="Cambria" w:hAnsi="Tahoma" w:cs="Tahoma"/>
          <w:sz w:val="16"/>
          <w:szCs w:val="16"/>
        </w:rPr>
        <w:t>/</w:t>
      </w:r>
      <w:r w:rsidRPr="004B5256">
        <w:rPr>
          <w:rFonts w:ascii="Tahoma" w:eastAsia="Cambria" w:hAnsi="Tahoma" w:cs="Tahoma"/>
          <w:color w:val="4472C4"/>
          <w:sz w:val="16"/>
          <w:szCs w:val="16"/>
        </w:rPr>
        <w:t xml:space="preserve">nazwa i osoby  uzupełnione po </w:t>
      </w:r>
      <w:r w:rsidRPr="004B5256">
        <w:rPr>
          <w:rFonts w:ascii="Tahoma" w:eastAsia="Cambria" w:hAnsi="Tahoma" w:cs="Tahoma"/>
          <w:sz w:val="16"/>
          <w:szCs w:val="16"/>
        </w:rPr>
        <w:t>wyborze oferty/</w:t>
      </w:r>
      <w:r w:rsidRPr="004B5256">
        <w:rPr>
          <w:rFonts w:ascii="Tahoma" w:eastAsia="Cambria" w:hAnsi="Tahoma" w:cs="Tahoma"/>
          <w:sz w:val="20"/>
          <w:szCs w:val="20"/>
        </w:rPr>
        <w:t xml:space="preserve"> </w:t>
      </w:r>
      <w:bookmarkEnd w:id="10"/>
      <w:r w:rsidRPr="004B5256">
        <w:rPr>
          <w:rFonts w:ascii="Tahoma" w:eastAsia="Cambria" w:hAnsi="Tahoma" w:cs="Tahoma"/>
          <w:sz w:val="20"/>
          <w:szCs w:val="20"/>
        </w:rPr>
        <w:t>……………..osoby te są upoważnione również do składania reklamacji o których mowa w §4.</w:t>
      </w:r>
    </w:p>
    <w:p w14:paraId="0E884227" w14:textId="77777777" w:rsidR="004B5256" w:rsidRPr="004B5256" w:rsidRDefault="004B5256" w:rsidP="004B5256">
      <w:pPr>
        <w:widowControl w:val="0"/>
        <w:numPr>
          <w:ilvl w:val="2"/>
          <w:numId w:val="44"/>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Wykonawca będzie realizował dostawy częściowe w asortymencie i ilości wskazanej w zamówieniach, o których mowa w ust. 5 -7  niniejszego paragrafu w określone dni tygodnia od wtorku do czwartku w godzinach od 7:00 do 15:00 najpóźniej </w:t>
      </w:r>
      <w:r w:rsidRPr="004B5256">
        <w:rPr>
          <w:rFonts w:ascii="Tahoma" w:eastAsia="Cambria" w:hAnsi="Tahoma" w:cs="Tahoma"/>
          <w:sz w:val="20"/>
          <w:szCs w:val="20"/>
          <w:u w:val="single"/>
          <w:lang w:eastAsia="pl-PL"/>
        </w:rPr>
        <w:t>w  terminie jednego dnia przed planowanym podaniem</w:t>
      </w:r>
      <w:r w:rsidRPr="004B5256">
        <w:rPr>
          <w:rFonts w:ascii="Tahoma" w:eastAsia="Cambria" w:hAnsi="Tahoma" w:cs="Tahoma"/>
          <w:sz w:val="20"/>
          <w:szCs w:val="20"/>
          <w:lang w:eastAsia="pl-PL"/>
        </w:rPr>
        <w:t xml:space="preserve">. </w:t>
      </w:r>
    </w:p>
    <w:p w14:paraId="1C5E84AC" w14:textId="77777777" w:rsidR="004B5256" w:rsidRPr="004B5256" w:rsidRDefault="004B5256" w:rsidP="004B5256">
      <w:pPr>
        <w:widowControl w:val="0"/>
        <w:numPr>
          <w:ilvl w:val="2"/>
          <w:numId w:val="44"/>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Wykonawca ponosi koszty transportu, ubezpieczenia oraz dostarczenia produktów leczniczych do pomieszczeń Zakładu Medycyny Nuklearnej  w lokalizacji /  </w:t>
      </w:r>
      <w:r w:rsidRPr="004B5256">
        <w:rPr>
          <w:rFonts w:ascii="Tahoma" w:eastAsia="Cambria" w:hAnsi="Tahoma" w:cs="Tahoma"/>
          <w:color w:val="4472C4"/>
          <w:sz w:val="16"/>
          <w:szCs w:val="16"/>
          <w:lang w:eastAsia="pl-PL"/>
        </w:rPr>
        <w:t>uzupełnione po wyborze oferty</w:t>
      </w:r>
      <w:r w:rsidRPr="004B5256">
        <w:rPr>
          <w:rFonts w:ascii="Tahoma" w:eastAsia="Cambria" w:hAnsi="Tahoma" w:cs="Tahoma"/>
          <w:sz w:val="20"/>
          <w:szCs w:val="20"/>
          <w:lang w:eastAsia="pl-PL"/>
        </w:rPr>
        <w:t>/ ……………………………………………</w:t>
      </w:r>
    </w:p>
    <w:p w14:paraId="71147E4B" w14:textId="77777777" w:rsidR="004B5256" w:rsidRPr="004B5256" w:rsidRDefault="004B5256" w:rsidP="004B5256">
      <w:pPr>
        <w:widowControl w:val="0"/>
        <w:suppressAutoHyphens/>
        <w:spacing w:after="0" w:line="240" w:lineRule="auto"/>
        <w:ind w:left="340"/>
        <w:contextualSpacing/>
        <w:jc w:val="both"/>
        <w:rPr>
          <w:rFonts w:ascii="Tahoma" w:eastAsia="Cambria" w:hAnsi="Tahoma" w:cs="Tahoma"/>
          <w:sz w:val="20"/>
          <w:szCs w:val="20"/>
          <w:lang w:eastAsia="pl-PL"/>
        </w:rPr>
      </w:pPr>
    </w:p>
    <w:p w14:paraId="3A3DEBD9" w14:textId="77777777" w:rsidR="004B5256" w:rsidRPr="004B5256" w:rsidRDefault="004B5256" w:rsidP="004B5256">
      <w:pPr>
        <w:widowControl w:val="0"/>
        <w:numPr>
          <w:ilvl w:val="2"/>
          <w:numId w:val="44"/>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Zamawiający ma prawo do anulacji złożonego zamówienia bez ponoszenia kosztów. Anulacja zamówienia musi zostać złożona pisemnie (email) na adres: …………………………….. najpóźniej na 3 dni roboczych, do godz. 14:00 przed planowanym dniem infuzji, ze wskazaniem kodu pacjenta przekazanego przy składaniu zamówienia. Zamawiający ma prawo zwrotu przedmiotu zamówienia jeżeli podanie dostarczonego produktu będzie niemożliwe z uwagi na stan zdrowia pacjenta lub inne przeszkody nieleżące po stronie Zamawiającego W takim przypadku Wykonawca może zadecydować o utylizacji przez Zamawiającego dostarczonego produktu bez obciążania Zamawiającego kosztem produktu i odpowiednim skorygowaniem wystawionych dokumentów księgowych</w:t>
      </w:r>
      <w:r w:rsidRPr="004B5256">
        <w:rPr>
          <w:rFonts w:ascii="Tahoma" w:eastAsia="Cambria" w:hAnsi="Tahoma" w:cs="Tahoma"/>
          <w:b/>
          <w:bCs/>
          <w:sz w:val="20"/>
          <w:szCs w:val="20"/>
          <w:lang w:eastAsia="pl-PL"/>
        </w:rPr>
        <w:t>.</w:t>
      </w:r>
      <w:r w:rsidRPr="004B5256">
        <w:rPr>
          <w:rFonts w:ascii="Tahoma" w:eastAsia="Cambria" w:hAnsi="Tahoma" w:cs="Tahoma"/>
          <w:sz w:val="20"/>
          <w:szCs w:val="20"/>
          <w:lang w:eastAsia="pl-PL"/>
        </w:rPr>
        <w:t xml:space="preserve"> </w:t>
      </w:r>
    </w:p>
    <w:p w14:paraId="748DAD2F" w14:textId="77777777" w:rsidR="004B5256" w:rsidRPr="004B5256" w:rsidRDefault="004B5256" w:rsidP="004B5256">
      <w:pPr>
        <w:widowControl w:val="0"/>
        <w:numPr>
          <w:ilvl w:val="2"/>
          <w:numId w:val="44"/>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7A39DD9B" w14:textId="77777777" w:rsidR="004B5256" w:rsidRPr="004B5256" w:rsidRDefault="004B5256" w:rsidP="004B5256">
      <w:pPr>
        <w:numPr>
          <w:ilvl w:val="2"/>
          <w:numId w:val="44"/>
        </w:numPr>
        <w:spacing w:after="0" w:line="240" w:lineRule="auto"/>
        <w:contextualSpacing/>
        <w:jc w:val="both"/>
        <w:rPr>
          <w:rFonts w:ascii="Tahoma" w:eastAsia="Cambria" w:hAnsi="Tahoma" w:cs="Tahoma"/>
          <w:bCs/>
          <w:sz w:val="20"/>
          <w:szCs w:val="20"/>
          <w:lang w:eastAsia="pl-PL"/>
        </w:rPr>
      </w:pPr>
      <w:bookmarkStart w:id="11" w:name="_Hlk76375322"/>
      <w:r w:rsidRPr="004B5256">
        <w:rPr>
          <w:rFonts w:ascii="Tahoma" w:eastAsia="Cambria" w:hAnsi="Tahoma" w:cs="Tahoma"/>
          <w:sz w:val="20"/>
          <w:szCs w:val="20"/>
        </w:rPr>
        <w:t xml:space="preserve">Ilości </w:t>
      </w:r>
      <w:r w:rsidRPr="004B5256">
        <w:rPr>
          <w:rFonts w:ascii="Tahoma" w:eastAsia="Cambria" w:hAnsi="Tahoma" w:cs="Tahoma"/>
          <w:bCs/>
          <w:sz w:val="20"/>
          <w:szCs w:val="20"/>
          <w:lang w:eastAsia="pl-PL"/>
        </w:rPr>
        <w:t>produktów leczniczych</w:t>
      </w:r>
      <w:r w:rsidRPr="004B5256" w:rsidDel="00F0193A">
        <w:rPr>
          <w:rFonts w:ascii="Tahoma" w:eastAsia="Cambria" w:hAnsi="Tahoma" w:cs="Tahoma"/>
          <w:sz w:val="20"/>
          <w:szCs w:val="20"/>
        </w:rPr>
        <w:t xml:space="preserve"> </w:t>
      </w:r>
      <w:r w:rsidRPr="004B5256">
        <w:rPr>
          <w:rFonts w:ascii="Tahoma" w:eastAsia="Cambria" w:hAnsi="Tahoma" w:cs="Tahoma"/>
          <w:sz w:val="20"/>
          <w:szCs w:val="20"/>
        </w:rPr>
        <w:t xml:space="preserve">podane w </w:t>
      </w:r>
      <w:r w:rsidRPr="004B5256">
        <w:rPr>
          <w:rFonts w:ascii="Tahoma" w:eastAsia="Cambria" w:hAnsi="Tahoma" w:cs="Tahoma"/>
          <w:sz w:val="20"/>
          <w:szCs w:val="20"/>
          <w:u w:val="single"/>
        </w:rPr>
        <w:t>specyfikacji asortymentowo</w:t>
      </w:r>
      <w:r w:rsidRPr="004B5256">
        <w:rPr>
          <w:rFonts w:ascii="Tahoma" w:eastAsia="Cambria" w:hAnsi="Tahoma" w:cs="Tahoma"/>
          <w:sz w:val="20"/>
          <w:szCs w:val="20"/>
        </w:rPr>
        <w:t xml:space="preserve">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20% wartości pierwotnej umowy, z zastrzeżeniem § 7 ust. 4 pkt d),e),g) oraz możliwości wcześniejszego rozwiązania umowy albo odstąpienia od niej przez Zamawiającego zgodnie z zapisami niniejszej umowy.</w:t>
      </w:r>
    </w:p>
    <w:p w14:paraId="18F77521" w14:textId="77777777" w:rsidR="004B5256" w:rsidRPr="004B5256" w:rsidRDefault="004B5256" w:rsidP="004B5256">
      <w:pPr>
        <w:numPr>
          <w:ilvl w:val="2"/>
          <w:numId w:val="44"/>
        </w:numPr>
        <w:spacing w:after="0" w:line="240" w:lineRule="auto"/>
        <w:contextualSpacing/>
        <w:jc w:val="both"/>
        <w:rPr>
          <w:rFonts w:ascii="Tahoma" w:eastAsia="Cambria" w:hAnsi="Tahoma" w:cs="Tahoma"/>
          <w:sz w:val="20"/>
          <w:szCs w:val="20"/>
        </w:rPr>
      </w:pPr>
      <w:r w:rsidRPr="004B5256">
        <w:rPr>
          <w:rFonts w:ascii="Tahoma" w:eastAsia="Cambria" w:hAnsi="Tahoma" w:cs="Tahoma"/>
          <w:sz w:val="20"/>
          <w:szCs w:val="20"/>
        </w:rPr>
        <w:t>Wykonawca zobowiązany jest zapoznać osoby, których dane podaje w związku z realizacją umowy z treścią klauzuli informacyjnej stanowiącej załącznik nr 2  do umowy.</w:t>
      </w:r>
    </w:p>
    <w:bookmarkEnd w:id="11"/>
    <w:p w14:paraId="6855232A" w14:textId="77777777" w:rsidR="004B5256" w:rsidRPr="004B5256" w:rsidRDefault="004B5256" w:rsidP="004B5256">
      <w:pPr>
        <w:widowControl w:val="0"/>
        <w:suppressAutoHyphens/>
        <w:spacing w:after="0" w:line="240" w:lineRule="auto"/>
        <w:ind w:left="340"/>
        <w:contextualSpacing/>
        <w:jc w:val="both"/>
        <w:rPr>
          <w:rFonts w:ascii="Tahoma" w:eastAsia="Cambria" w:hAnsi="Tahoma" w:cs="Tahoma"/>
          <w:b/>
          <w:bCs/>
          <w:color w:val="FF0000"/>
          <w:sz w:val="20"/>
          <w:szCs w:val="20"/>
          <w:lang w:eastAsia="pl-PL"/>
        </w:rPr>
      </w:pPr>
    </w:p>
    <w:p w14:paraId="2532FA98" w14:textId="77777777" w:rsidR="004B5256" w:rsidRPr="004B5256" w:rsidRDefault="004B5256" w:rsidP="004B5256">
      <w:pPr>
        <w:spacing w:after="0" w:line="240" w:lineRule="auto"/>
        <w:ind w:left="340"/>
        <w:contextualSpacing/>
        <w:jc w:val="center"/>
        <w:rPr>
          <w:rFonts w:ascii="Tahoma" w:eastAsia="Cambria" w:hAnsi="Tahoma" w:cs="Tahoma"/>
          <w:b/>
          <w:bCs/>
          <w:sz w:val="20"/>
          <w:szCs w:val="20"/>
          <w:lang w:eastAsia="pl-PL"/>
        </w:rPr>
      </w:pPr>
      <w:r w:rsidRPr="004B5256">
        <w:rPr>
          <w:rFonts w:ascii="Tahoma" w:eastAsia="Cambria" w:hAnsi="Tahoma" w:cs="Tahoma"/>
          <w:b/>
          <w:bCs/>
          <w:sz w:val="20"/>
          <w:szCs w:val="20"/>
          <w:lang w:eastAsia="pl-PL"/>
        </w:rPr>
        <w:t>§ 3.</w:t>
      </w:r>
    </w:p>
    <w:p w14:paraId="2FC4681F" w14:textId="77777777" w:rsidR="004B5256" w:rsidRPr="004B5256" w:rsidRDefault="004B5256" w:rsidP="004B5256">
      <w:pPr>
        <w:spacing w:after="0" w:line="240" w:lineRule="auto"/>
        <w:jc w:val="center"/>
        <w:rPr>
          <w:rFonts w:ascii="Tahoma" w:eastAsia="Cambria" w:hAnsi="Tahoma" w:cs="Tahoma"/>
          <w:b/>
          <w:bCs/>
          <w:sz w:val="20"/>
          <w:szCs w:val="20"/>
          <w:u w:val="single"/>
          <w:lang w:eastAsia="pl-PL"/>
        </w:rPr>
      </w:pPr>
      <w:r w:rsidRPr="004B5256">
        <w:rPr>
          <w:rFonts w:ascii="Tahoma" w:eastAsia="Cambria" w:hAnsi="Tahoma" w:cs="Tahoma"/>
          <w:b/>
          <w:bCs/>
          <w:sz w:val="20"/>
          <w:szCs w:val="20"/>
          <w:u w:val="single"/>
          <w:lang w:eastAsia="pl-PL"/>
        </w:rPr>
        <w:t>WYNAGRODZENIE I WARUNKI PŁATNOŚCI</w:t>
      </w:r>
    </w:p>
    <w:p w14:paraId="1CDB2B01" w14:textId="77777777" w:rsidR="004B5256" w:rsidRPr="004B5256" w:rsidRDefault="004B5256" w:rsidP="004B5256">
      <w:pPr>
        <w:widowControl w:val="0"/>
        <w:numPr>
          <w:ilvl w:val="0"/>
          <w:numId w:val="49"/>
        </w:numPr>
        <w:suppressAutoHyphens/>
        <w:spacing w:after="0" w:line="240" w:lineRule="auto"/>
        <w:jc w:val="both"/>
        <w:rPr>
          <w:rFonts w:ascii="Tahoma" w:eastAsia="Cambria" w:hAnsi="Tahoma" w:cs="Tahoma"/>
          <w:sz w:val="20"/>
          <w:szCs w:val="20"/>
          <w:lang w:eastAsia="ar-SA"/>
        </w:rPr>
      </w:pPr>
      <w:r w:rsidRPr="004B5256">
        <w:rPr>
          <w:rFonts w:ascii="Tahoma" w:eastAsia="Cambria" w:hAnsi="Tahoma" w:cs="Tahoma"/>
          <w:sz w:val="20"/>
          <w:szCs w:val="20"/>
          <w:lang w:eastAsia="pl-PL"/>
        </w:rPr>
        <w:t xml:space="preserve">Wynagrodzenie Wykonawcy za zrealizowanie całej umowy, zgodnie ze złożoną ofertą nie może przekroczyć kwoty: </w:t>
      </w:r>
    </w:p>
    <w:p w14:paraId="1F0D929E" w14:textId="77777777" w:rsidR="004B5256" w:rsidRPr="004B5256" w:rsidRDefault="004B5256" w:rsidP="004B5256">
      <w:pPr>
        <w:spacing w:after="0" w:line="240" w:lineRule="auto"/>
        <w:ind w:left="300"/>
        <w:rPr>
          <w:rFonts w:ascii="Tahoma" w:eastAsia="Cambria" w:hAnsi="Tahoma" w:cs="Tahoma"/>
          <w:sz w:val="20"/>
          <w:szCs w:val="20"/>
          <w:lang w:eastAsia="pl-PL"/>
        </w:rPr>
      </w:pPr>
      <w:r w:rsidRPr="004B5256">
        <w:rPr>
          <w:rFonts w:ascii="Tahoma" w:eastAsia="Cambria" w:hAnsi="Tahoma" w:cs="Tahoma"/>
          <w:b/>
          <w:bCs/>
          <w:sz w:val="20"/>
          <w:szCs w:val="20"/>
          <w:lang w:eastAsia="pl-PL"/>
        </w:rPr>
        <w:t>brutto:</w:t>
      </w:r>
      <w:r w:rsidRPr="004B5256">
        <w:rPr>
          <w:rFonts w:ascii="Tahoma" w:eastAsia="Cambria" w:hAnsi="Tahoma" w:cs="Tahoma"/>
          <w:sz w:val="20"/>
          <w:szCs w:val="20"/>
          <w:lang w:eastAsia="pl-PL"/>
        </w:rPr>
        <w:t>.................zł (słownie:................................ )</w:t>
      </w:r>
      <w:r w:rsidRPr="004B5256">
        <w:rPr>
          <w:rFonts w:ascii="Tahoma" w:eastAsia="Cambria" w:hAnsi="Tahoma" w:cs="Tahoma"/>
          <w:sz w:val="20"/>
          <w:szCs w:val="20"/>
          <w:lang w:eastAsia="pl-PL"/>
        </w:rPr>
        <w:br/>
        <w:t>netto: ............................zł  należny podatek VAT</w:t>
      </w:r>
      <w:r w:rsidRPr="004B5256">
        <w:rPr>
          <w:rFonts w:ascii="Tahoma" w:eastAsia="Cambria" w:hAnsi="Tahoma" w:cs="Tahoma"/>
          <w:b/>
          <w:bCs/>
          <w:sz w:val="20"/>
          <w:szCs w:val="20"/>
          <w:lang w:eastAsia="pl-PL"/>
        </w:rPr>
        <w:t xml:space="preserve"> :</w:t>
      </w:r>
      <w:r w:rsidRPr="004B5256">
        <w:rPr>
          <w:rFonts w:ascii="Tahoma" w:eastAsia="Cambria" w:hAnsi="Tahoma" w:cs="Tahoma"/>
          <w:sz w:val="20"/>
          <w:szCs w:val="20"/>
          <w:lang w:eastAsia="pl-PL"/>
        </w:rPr>
        <w:t xml:space="preserve">.........zł </w:t>
      </w:r>
    </w:p>
    <w:p w14:paraId="66BE754A" w14:textId="77777777" w:rsidR="004B5256" w:rsidRPr="004B5256" w:rsidRDefault="004B5256" w:rsidP="004B5256">
      <w:pPr>
        <w:widowControl w:val="0"/>
        <w:numPr>
          <w:ilvl w:val="0"/>
          <w:numId w:val="49"/>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Ceny jednostkowe produktów leczniczych-radioaktywnych określone zostały  w załączniku nr 1 do umowy.</w:t>
      </w:r>
    </w:p>
    <w:p w14:paraId="33A67312" w14:textId="77777777" w:rsidR="004B5256" w:rsidRPr="004B5256" w:rsidRDefault="004B5256" w:rsidP="004B5256">
      <w:pPr>
        <w:numPr>
          <w:ilvl w:val="0"/>
          <w:numId w:val="49"/>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Zapłata za każdą zamówioną przez Zamawiającego i dostarczoną zgodnie z umową partię produktów leczniczych-radioaktywnych nastąpi przelewem na rachunek bankowy Wykonawcy( nr rachunku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1399558E" w14:textId="77777777" w:rsidR="004B5256" w:rsidRPr="004B5256" w:rsidRDefault="004B5256" w:rsidP="004B5256">
      <w:pPr>
        <w:widowControl w:val="0"/>
        <w:numPr>
          <w:ilvl w:val="0"/>
          <w:numId w:val="49"/>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Za datę zapłaty przyjmuje się datę obciążenia rachunku bankowego Zamawiającego.</w:t>
      </w:r>
    </w:p>
    <w:p w14:paraId="7C73DE28" w14:textId="77777777" w:rsidR="004B5256" w:rsidRPr="004B5256" w:rsidRDefault="004B5256" w:rsidP="004B5256">
      <w:pPr>
        <w:numPr>
          <w:ilvl w:val="0"/>
          <w:numId w:val="49"/>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41E9FDE" w14:textId="77777777" w:rsidR="004B5256" w:rsidRPr="004B5256" w:rsidRDefault="004B5256" w:rsidP="004B5256">
      <w:pPr>
        <w:widowControl w:val="0"/>
        <w:numPr>
          <w:ilvl w:val="0"/>
          <w:numId w:val="49"/>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Na podstawie art. 12 ust. 4i  i 4j oraz art. 15d ustawy z dnia 15 lutego 1992 r. o podatku dochodowym od osób prawnych (tekst jednolity: Dz.U. 2022 poz. 2587 z późn.zm.):</w:t>
      </w:r>
    </w:p>
    <w:p w14:paraId="25E7BA87" w14:textId="77777777" w:rsidR="004B5256" w:rsidRPr="004B5256" w:rsidRDefault="004B5256" w:rsidP="004B525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lastRenderedPageBreak/>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5EB8D55" w14:textId="77777777" w:rsidR="004B5256" w:rsidRPr="004B5256" w:rsidRDefault="004B5256" w:rsidP="004B525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99C9DF" w14:textId="77777777" w:rsidR="004B5256" w:rsidRPr="004B5256" w:rsidRDefault="004B5256" w:rsidP="004B525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EE2619A" w14:textId="77777777" w:rsidR="004B5256" w:rsidRPr="004B5256" w:rsidRDefault="004B5256" w:rsidP="004B5256">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DC738E0" w14:textId="77777777" w:rsidR="004B5256" w:rsidRPr="004B5256" w:rsidRDefault="004B5256" w:rsidP="004B5256">
      <w:pPr>
        <w:numPr>
          <w:ilvl w:val="0"/>
          <w:numId w:val="49"/>
        </w:numPr>
        <w:suppressAutoHyphens/>
        <w:spacing w:after="0" w:line="240" w:lineRule="auto"/>
        <w:contextualSpacing/>
        <w:jc w:val="both"/>
        <w:rPr>
          <w:rFonts w:ascii="Tahoma" w:eastAsia="Cambria" w:hAnsi="Tahoma" w:cs="Tahoma"/>
          <w:sz w:val="20"/>
          <w:szCs w:val="20"/>
        </w:rPr>
      </w:pPr>
      <w:r w:rsidRPr="004B5256">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4B5256">
        <w:rPr>
          <w:rFonts w:ascii="Tahoma" w:eastAsia="Cambria" w:hAnsi="Tahoma" w:cs="Tahoma"/>
          <w:sz w:val="20"/>
          <w:szCs w:val="20"/>
        </w:rPr>
        <w:t>poniżej:</w:t>
      </w:r>
    </w:p>
    <w:p w14:paraId="2EDD9A61" w14:textId="77777777" w:rsidR="004B5256" w:rsidRPr="004B5256" w:rsidRDefault="004B5256" w:rsidP="004B5256">
      <w:pPr>
        <w:suppressAutoHyphens/>
        <w:spacing w:after="0" w:line="240" w:lineRule="auto"/>
        <w:ind w:left="340"/>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 xml:space="preserve">Adres e-mail na który Wykonawca może przekazywać </w:t>
      </w:r>
      <w:r w:rsidRPr="004B5256">
        <w:rPr>
          <w:rFonts w:ascii="Tahoma" w:eastAsia="Cambria" w:hAnsi="Tahoma" w:cs="Tahoma"/>
          <w:sz w:val="20"/>
          <w:szCs w:val="20"/>
        </w:rPr>
        <w:t xml:space="preserve">Zamawiającemu </w:t>
      </w:r>
      <w:r w:rsidRPr="004B5256">
        <w:rPr>
          <w:rFonts w:ascii="Tahoma" w:eastAsia="Cambria" w:hAnsi="Tahoma" w:cs="Tahoma"/>
          <w:sz w:val="20"/>
          <w:szCs w:val="20"/>
          <w:lang w:val="x-none"/>
        </w:rPr>
        <w:t xml:space="preserve">wskazane powyżej dokumenty: </w:t>
      </w:r>
      <w:hyperlink r:id="rId25" w:history="1">
        <w:r w:rsidRPr="004B5256">
          <w:rPr>
            <w:rFonts w:ascii="Tahoma" w:eastAsia="Cambria" w:hAnsi="Tahoma" w:cs="Tahoma"/>
            <w:sz w:val="20"/>
            <w:szCs w:val="20"/>
            <w:u w:val="single"/>
            <w:lang w:val="x-none"/>
          </w:rPr>
          <w:t>faktury@uck.katowice.pl</w:t>
        </w:r>
      </w:hyperlink>
      <w:r w:rsidRPr="004B5256">
        <w:rPr>
          <w:rFonts w:ascii="Tahoma" w:eastAsia="Cambria" w:hAnsi="Tahoma" w:cs="Tahoma"/>
          <w:sz w:val="20"/>
          <w:szCs w:val="20"/>
          <w:lang w:val="x-none"/>
        </w:rPr>
        <w:t xml:space="preserve"> </w:t>
      </w:r>
    </w:p>
    <w:p w14:paraId="06784D24" w14:textId="77777777" w:rsidR="004B5256" w:rsidRPr="004B5256" w:rsidRDefault="004B5256" w:rsidP="004B5256">
      <w:pPr>
        <w:suppressAutoHyphens/>
        <w:spacing w:after="0" w:line="240" w:lineRule="auto"/>
        <w:ind w:left="340"/>
        <w:contextualSpacing/>
        <w:jc w:val="both"/>
        <w:rPr>
          <w:rFonts w:ascii="Tahoma" w:eastAsia="Cambria" w:hAnsi="Tahoma" w:cs="Tahoma"/>
          <w:sz w:val="20"/>
          <w:szCs w:val="20"/>
        </w:rPr>
      </w:pPr>
      <w:r w:rsidRPr="004B5256">
        <w:rPr>
          <w:rFonts w:ascii="Tahoma" w:eastAsia="Cambria" w:hAnsi="Tahoma" w:cs="Tahoma"/>
          <w:sz w:val="20"/>
          <w:szCs w:val="20"/>
          <w:lang w:val="x-none"/>
        </w:rPr>
        <w:t xml:space="preserve">Adres e-mail na który Zamawiający może przekazywać </w:t>
      </w:r>
      <w:r w:rsidRPr="004B5256">
        <w:rPr>
          <w:rFonts w:ascii="Tahoma" w:eastAsia="Cambria" w:hAnsi="Tahoma" w:cs="Tahoma"/>
          <w:sz w:val="20"/>
          <w:szCs w:val="20"/>
        </w:rPr>
        <w:t xml:space="preserve">Wykonawcy </w:t>
      </w:r>
      <w:r w:rsidRPr="004B5256">
        <w:rPr>
          <w:rFonts w:ascii="Tahoma" w:eastAsia="Cambria" w:hAnsi="Tahoma" w:cs="Tahoma"/>
          <w:sz w:val="20"/>
          <w:szCs w:val="20"/>
          <w:lang w:val="x-none"/>
        </w:rPr>
        <w:t xml:space="preserve">wskazane powyżej dokumenty: </w:t>
      </w:r>
      <w:r w:rsidRPr="004B5256">
        <w:rPr>
          <w:rFonts w:ascii="Tahoma" w:eastAsia="Cambria" w:hAnsi="Tahoma" w:cs="Tahoma"/>
          <w:sz w:val="20"/>
          <w:szCs w:val="20"/>
        </w:rPr>
        <w:t>………………………………………..”</w:t>
      </w:r>
    </w:p>
    <w:p w14:paraId="5033FFA5" w14:textId="77777777" w:rsidR="004B5256" w:rsidRPr="004B5256" w:rsidRDefault="004B5256" w:rsidP="004B5256">
      <w:pPr>
        <w:widowControl w:val="0"/>
        <w:suppressAutoHyphens/>
        <w:spacing w:after="0" w:line="240" w:lineRule="auto"/>
        <w:ind w:left="360"/>
        <w:contextualSpacing/>
        <w:jc w:val="center"/>
        <w:rPr>
          <w:rFonts w:ascii="Tahoma" w:eastAsia="Cambria" w:hAnsi="Tahoma" w:cs="Tahoma"/>
          <w:b/>
          <w:bCs/>
          <w:sz w:val="20"/>
          <w:szCs w:val="20"/>
          <w:lang w:eastAsia="pl-PL"/>
        </w:rPr>
      </w:pPr>
      <w:r w:rsidRPr="004B5256">
        <w:rPr>
          <w:rFonts w:ascii="Tahoma" w:eastAsia="Cambria" w:hAnsi="Tahoma" w:cs="Tahoma"/>
          <w:b/>
          <w:bCs/>
          <w:sz w:val="20"/>
          <w:szCs w:val="20"/>
          <w:lang w:eastAsia="pl-PL"/>
        </w:rPr>
        <w:t>§4</w:t>
      </w:r>
    </w:p>
    <w:p w14:paraId="75E3452A" w14:textId="77777777" w:rsidR="004B5256" w:rsidRPr="004B5256" w:rsidRDefault="004B5256" w:rsidP="004B5256">
      <w:pPr>
        <w:keepNext/>
        <w:spacing w:after="0" w:line="240" w:lineRule="auto"/>
        <w:jc w:val="center"/>
        <w:outlineLvl w:val="3"/>
        <w:rPr>
          <w:rFonts w:ascii="Tahoma" w:eastAsia="Cambria" w:hAnsi="Tahoma" w:cs="Tahoma"/>
          <w:b/>
          <w:bCs/>
          <w:sz w:val="20"/>
          <w:szCs w:val="20"/>
          <w:u w:val="single"/>
          <w:lang w:eastAsia="pl-PL"/>
        </w:rPr>
      </w:pPr>
      <w:r w:rsidRPr="004B5256">
        <w:rPr>
          <w:rFonts w:ascii="Tahoma" w:eastAsia="Cambria" w:hAnsi="Tahoma" w:cs="Tahoma"/>
          <w:b/>
          <w:bCs/>
          <w:sz w:val="20"/>
          <w:szCs w:val="20"/>
          <w:u w:val="single"/>
          <w:lang w:eastAsia="pl-PL"/>
        </w:rPr>
        <w:t>REKLAMACJE</w:t>
      </w:r>
    </w:p>
    <w:p w14:paraId="2AE14F80" w14:textId="77777777" w:rsidR="004B5256" w:rsidRPr="004B5256" w:rsidRDefault="004B5256" w:rsidP="004B5256">
      <w:pPr>
        <w:numPr>
          <w:ilvl w:val="0"/>
          <w:numId w:val="48"/>
        </w:numPr>
        <w:spacing w:after="0" w:line="240" w:lineRule="auto"/>
        <w:contextualSpacing/>
        <w:jc w:val="both"/>
        <w:rPr>
          <w:rFonts w:ascii="Tahoma" w:eastAsia="Cambria" w:hAnsi="Tahoma" w:cs="Tahoma"/>
          <w:sz w:val="16"/>
          <w:szCs w:val="16"/>
          <w:lang w:eastAsia="pl-PL"/>
        </w:rPr>
      </w:pPr>
      <w:r w:rsidRPr="004B5256">
        <w:rPr>
          <w:rFonts w:ascii="Tahoma" w:eastAsia="Cambria" w:hAnsi="Tahoma" w:cs="Tahoma"/>
          <w:sz w:val="20"/>
          <w:szCs w:val="20"/>
          <w:lang w:eastAsia="pl-PL"/>
        </w:rPr>
        <w:t>W przypadku stwierdzenia przez Zamawiającego braków ilościowych w stosunku do zamówienia częściowego, stwierdzenia wadliwości lub niezgodności dostarczonego produktu leczniczego-radioaktywnego ze złożoną ofertą, Zamawiający zgłosi do Wykonawcy reklamacje na adres……(</w:t>
      </w:r>
      <w:r w:rsidRPr="004B5256">
        <w:rPr>
          <w:rFonts w:ascii="Tahoma" w:eastAsia="Cambria" w:hAnsi="Tahoma" w:cs="Tahoma"/>
          <w:sz w:val="16"/>
          <w:szCs w:val="16"/>
          <w:lang w:eastAsia="pl-PL"/>
        </w:rPr>
        <w:t>e-mail)</w:t>
      </w:r>
    </w:p>
    <w:p w14:paraId="20B3A311" w14:textId="77777777" w:rsidR="004B5256" w:rsidRPr="004B5256" w:rsidRDefault="004B5256" w:rsidP="004B5256">
      <w:pPr>
        <w:widowControl w:val="0"/>
        <w:numPr>
          <w:ilvl w:val="0"/>
          <w:numId w:val="48"/>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Wykonawca w terminie 3 dni roboczych od dnia zgłoszenia reklamacji rozpatrzy reklamację .</w:t>
      </w:r>
    </w:p>
    <w:p w14:paraId="2683742E" w14:textId="77777777" w:rsidR="004B5256" w:rsidRPr="004B5256" w:rsidRDefault="004B5256" w:rsidP="004B5256">
      <w:pPr>
        <w:widowControl w:val="0"/>
        <w:numPr>
          <w:ilvl w:val="0"/>
          <w:numId w:val="48"/>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Wszelkie koszty związane z usunięciem uchybień objętych reklamacją Zamawiającego obciążają Wykonawcę.</w:t>
      </w:r>
    </w:p>
    <w:p w14:paraId="1C0CDA9C" w14:textId="77777777" w:rsidR="004B5256" w:rsidRPr="004B5256" w:rsidRDefault="004B5256" w:rsidP="004B5256">
      <w:pPr>
        <w:spacing w:before="120" w:after="0" w:line="240" w:lineRule="auto"/>
        <w:jc w:val="center"/>
        <w:rPr>
          <w:rFonts w:ascii="Tahoma" w:eastAsia="Cambria" w:hAnsi="Tahoma" w:cs="Tahoma"/>
          <w:b/>
          <w:bCs/>
          <w:sz w:val="20"/>
          <w:szCs w:val="20"/>
          <w:lang w:eastAsia="pl-PL"/>
        </w:rPr>
      </w:pPr>
      <w:r w:rsidRPr="004B5256">
        <w:rPr>
          <w:rFonts w:ascii="Tahoma" w:eastAsia="Cambria" w:hAnsi="Tahoma" w:cs="Tahoma"/>
          <w:b/>
          <w:bCs/>
          <w:sz w:val="20"/>
          <w:szCs w:val="20"/>
          <w:lang w:eastAsia="pl-PL"/>
        </w:rPr>
        <w:t>§ 5.</w:t>
      </w:r>
    </w:p>
    <w:p w14:paraId="342B5A9B" w14:textId="77777777" w:rsidR="004B5256" w:rsidRPr="004B5256" w:rsidRDefault="004B5256" w:rsidP="004B5256">
      <w:pPr>
        <w:spacing w:after="0" w:line="240" w:lineRule="auto"/>
        <w:jc w:val="center"/>
        <w:rPr>
          <w:rFonts w:ascii="Tahoma" w:eastAsia="Cambria" w:hAnsi="Tahoma" w:cs="Tahoma"/>
          <w:b/>
          <w:bCs/>
          <w:sz w:val="20"/>
          <w:szCs w:val="20"/>
          <w:u w:val="single"/>
          <w:lang w:eastAsia="pl-PL"/>
        </w:rPr>
      </w:pPr>
      <w:r w:rsidRPr="004B5256">
        <w:rPr>
          <w:rFonts w:ascii="Tahoma" w:eastAsia="Cambria" w:hAnsi="Tahoma" w:cs="Tahoma"/>
          <w:b/>
          <w:bCs/>
          <w:sz w:val="20"/>
          <w:szCs w:val="20"/>
          <w:u w:val="single"/>
          <w:lang w:eastAsia="pl-PL"/>
        </w:rPr>
        <w:t>KARY UMOWNE</w:t>
      </w:r>
    </w:p>
    <w:p w14:paraId="7E3FAE2B" w14:textId="77777777" w:rsidR="004B5256" w:rsidRPr="004B5256" w:rsidRDefault="004B5256" w:rsidP="004B5256">
      <w:pPr>
        <w:widowControl w:val="0"/>
        <w:numPr>
          <w:ilvl w:val="0"/>
          <w:numId w:val="52"/>
        </w:numPr>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Wykonawca</w:t>
      </w:r>
      <w:r w:rsidRPr="004B5256">
        <w:rPr>
          <w:rFonts w:ascii="Tahoma" w:eastAsia="Cambria" w:hAnsi="Tahoma" w:cs="Tahoma"/>
          <w:i/>
          <w:iCs/>
          <w:sz w:val="20"/>
          <w:szCs w:val="20"/>
          <w:lang w:eastAsia="pl-PL"/>
        </w:rPr>
        <w:t xml:space="preserve"> </w:t>
      </w:r>
      <w:r w:rsidRPr="004B5256">
        <w:rPr>
          <w:rFonts w:ascii="Tahoma" w:eastAsia="Cambria" w:hAnsi="Tahoma" w:cs="Tahoma"/>
          <w:sz w:val="20"/>
          <w:szCs w:val="20"/>
          <w:lang w:eastAsia="pl-PL"/>
        </w:rPr>
        <w:t xml:space="preserve">zapłaci Zamawiającemu kary umowne: </w:t>
      </w:r>
    </w:p>
    <w:p w14:paraId="6C099ADC" w14:textId="77777777" w:rsidR="004B5256" w:rsidRPr="004B5256" w:rsidRDefault="004B5256" w:rsidP="004B5256">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leczniczych-radioaktywnych niedostarczonych w ramach danego zamówienia częściowego - za każdy dzień zwłoki w dostawie;</w:t>
      </w:r>
    </w:p>
    <w:p w14:paraId="4786D1D9" w14:textId="77777777" w:rsidR="004B5256" w:rsidRPr="004B5256" w:rsidRDefault="004B5256" w:rsidP="004B5256">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b) w przypadku stwierdzenia braku oznakowania dostarczonych produktów leczniczych-radioaktywnych w sposób określony w § 2 ust. 2 niniejszej umowy, wadliwości lub niezgodności dostarczonego produktu leczniczego ze złożoną ofertą – w wysokości 0,5 % wartości brutto produktów leczniczych-radioaktywnych dostarczonych w ramach danego zamówienia częściowego, których dotyczy brak oznakowania, wadliwość lub niezgodność ze złożona ofertą – za każdy dzień zwłoki w rozpatrzeniu reklamacji w stosunku do terminu  określonego w § 4 ust. 2 niniejszej umowy; </w:t>
      </w:r>
    </w:p>
    <w:p w14:paraId="1A2D4947" w14:textId="77777777" w:rsidR="004B5256" w:rsidRPr="004B5256" w:rsidRDefault="004B5256" w:rsidP="004B5256">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c) w przypadku odstąpienia od umowy lub rozwiązania ze skutkiem natychmiastowym z przyczyn, za które odpowiada Wykonawca w wysokości 10% kwoty wynagrodzenia brutto określonego w § 3 ust. 1 niniejszej umowy, pomniejszonej o wartość zrealizowanej umowy do czasu odstąpienia od umowy lub rozwiązania ze skutkiem natychmiastowym przez Zamawiającego.</w:t>
      </w:r>
    </w:p>
    <w:p w14:paraId="5660DB4B" w14:textId="77777777" w:rsidR="004B5256" w:rsidRPr="004B5256" w:rsidRDefault="004B5256" w:rsidP="004B525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12" w:name="_Hlk76376510"/>
      <w:r w:rsidRPr="004B5256">
        <w:rPr>
          <w:rFonts w:ascii="Tahoma" w:eastAsia="Cambria" w:hAnsi="Tahoma" w:cs="Tahoma"/>
          <w:sz w:val="20"/>
          <w:szCs w:val="20"/>
          <w:lang w:eastAsia="pl-PL"/>
        </w:rPr>
        <w:t>Maksymalna łączna wysokość kar umownych nie może przekroczyć 50% kwoty wynagrodzenia brutto określonego w § 3 ust. 1 niniejszej umowy;</w:t>
      </w:r>
    </w:p>
    <w:p w14:paraId="5CC9B66B" w14:textId="77777777" w:rsidR="004B5256" w:rsidRPr="004B5256" w:rsidRDefault="004B5256" w:rsidP="004B525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lastRenderedPageBreak/>
        <w:t xml:space="preserve">  W przypadku, gdy wysokość wyrządzonej szkody przewy</w:t>
      </w:r>
      <w:r w:rsidRPr="004B5256">
        <w:rPr>
          <w:rFonts w:ascii="Tahoma" w:eastAsia="TTE1BCD910t00" w:hAnsi="Tahoma" w:cs="Tahoma"/>
          <w:sz w:val="20"/>
          <w:szCs w:val="20"/>
          <w:lang w:eastAsia="pl-PL"/>
        </w:rPr>
        <w:t>ż</w:t>
      </w:r>
      <w:r w:rsidRPr="004B5256">
        <w:rPr>
          <w:rFonts w:ascii="Tahoma" w:eastAsia="Cambria" w:hAnsi="Tahoma" w:cs="Tahoma"/>
          <w:sz w:val="20"/>
          <w:szCs w:val="20"/>
          <w:lang w:eastAsia="pl-PL"/>
        </w:rPr>
        <w:t>sza naliczoną</w:t>
      </w:r>
      <w:r w:rsidRPr="004B5256">
        <w:rPr>
          <w:rFonts w:ascii="Tahoma" w:eastAsia="TTE1BCD910t00" w:hAnsi="Tahoma" w:cs="Tahoma"/>
          <w:sz w:val="20"/>
          <w:szCs w:val="20"/>
          <w:lang w:eastAsia="pl-PL"/>
        </w:rPr>
        <w:t xml:space="preserve"> </w:t>
      </w:r>
      <w:r w:rsidRPr="004B5256">
        <w:rPr>
          <w:rFonts w:ascii="Tahoma" w:eastAsia="Cambria" w:hAnsi="Tahoma" w:cs="Tahoma"/>
          <w:sz w:val="20"/>
          <w:szCs w:val="20"/>
          <w:lang w:eastAsia="pl-PL"/>
        </w:rPr>
        <w:t>kar</w:t>
      </w:r>
      <w:r w:rsidRPr="004B5256">
        <w:rPr>
          <w:rFonts w:ascii="Tahoma" w:eastAsia="TTE1BCD910t00" w:hAnsi="Tahoma" w:cs="Tahoma"/>
          <w:sz w:val="20"/>
          <w:szCs w:val="20"/>
          <w:lang w:eastAsia="pl-PL"/>
        </w:rPr>
        <w:t xml:space="preserve">ę </w:t>
      </w:r>
      <w:r w:rsidRPr="004B5256">
        <w:rPr>
          <w:rFonts w:ascii="Tahoma" w:eastAsia="Cambria" w:hAnsi="Tahoma" w:cs="Tahoma"/>
          <w:sz w:val="20"/>
          <w:szCs w:val="20"/>
          <w:lang w:eastAsia="pl-PL"/>
        </w:rPr>
        <w:t>umown</w:t>
      </w:r>
      <w:r w:rsidRPr="004B5256">
        <w:rPr>
          <w:rFonts w:ascii="Tahoma" w:eastAsia="TTE1BCD910t00" w:hAnsi="Tahoma" w:cs="Tahoma"/>
          <w:sz w:val="20"/>
          <w:szCs w:val="20"/>
          <w:lang w:eastAsia="pl-PL"/>
        </w:rPr>
        <w:t xml:space="preserve">ą </w:t>
      </w:r>
      <w:r w:rsidRPr="004B5256">
        <w:rPr>
          <w:rFonts w:ascii="Tahoma" w:eastAsia="Cambria" w:hAnsi="Tahoma" w:cs="Tahoma"/>
          <w:sz w:val="20"/>
          <w:szCs w:val="20"/>
          <w:lang w:eastAsia="pl-PL"/>
        </w:rPr>
        <w:t>Zamawiaj</w:t>
      </w:r>
      <w:r w:rsidRPr="004B5256">
        <w:rPr>
          <w:rFonts w:ascii="Tahoma" w:eastAsia="TTE1BCD910t00" w:hAnsi="Tahoma" w:cs="Tahoma"/>
          <w:sz w:val="20"/>
          <w:szCs w:val="20"/>
          <w:lang w:eastAsia="pl-PL"/>
        </w:rPr>
        <w:t>ą</w:t>
      </w:r>
      <w:r w:rsidRPr="004B5256">
        <w:rPr>
          <w:rFonts w:ascii="Tahoma" w:eastAsia="Cambria" w:hAnsi="Tahoma" w:cs="Tahoma"/>
          <w:sz w:val="20"/>
          <w:szCs w:val="20"/>
          <w:lang w:eastAsia="pl-PL"/>
        </w:rPr>
        <w:t xml:space="preserve">cy ma prawo </w:t>
      </w:r>
      <w:r w:rsidRPr="004B5256">
        <w:rPr>
          <w:rFonts w:ascii="Tahoma" w:eastAsia="TTE1BCD910t00" w:hAnsi="Tahoma" w:cs="Tahoma"/>
          <w:sz w:val="20"/>
          <w:szCs w:val="20"/>
          <w:lang w:eastAsia="pl-PL"/>
        </w:rPr>
        <w:t>żą</w:t>
      </w:r>
      <w:r w:rsidRPr="004B5256">
        <w:rPr>
          <w:rFonts w:ascii="Tahoma" w:eastAsia="Cambria" w:hAnsi="Tahoma" w:cs="Tahoma"/>
          <w:sz w:val="20"/>
          <w:szCs w:val="20"/>
          <w:lang w:eastAsia="pl-PL"/>
        </w:rPr>
        <w:t>da</w:t>
      </w:r>
      <w:r w:rsidRPr="004B5256">
        <w:rPr>
          <w:rFonts w:ascii="Tahoma" w:eastAsia="TTE1BCD910t00" w:hAnsi="Tahoma" w:cs="Tahoma"/>
          <w:sz w:val="20"/>
          <w:szCs w:val="20"/>
          <w:lang w:eastAsia="pl-PL"/>
        </w:rPr>
        <w:t xml:space="preserve">ć </w:t>
      </w:r>
      <w:r w:rsidRPr="004B5256">
        <w:rPr>
          <w:rFonts w:ascii="Tahoma" w:eastAsia="Cambria" w:hAnsi="Tahoma" w:cs="Tahoma"/>
          <w:sz w:val="20"/>
          <w:szCs w:val="20"/>
          <w:lang w:eastAsia="pl-PL"/>
        </w:rPr>
        <w:t>odszkodowania uzupełniaj</w:t>
      </w:r>
      <w:r w:rsidRPr="004B5256">
        <w:rPr>
          <w:rFonts w:ascii="Tahoma" w:eastAsia="TTE1BCD910t00" w:hAnsi="Tahoma" w:cs="Tahoma"/>
          <w:sz w:val="20"/>
          <w:szCs w:val="20"/>
          <w:lang w:eastAsia="pl-PL"/>
        </w:rPr>
        <w:t>ą</w:t>
      </w:r>
      <w:r w:rsidRPr="004B5256">
        <w:rPr>
          <w:rFonts w:ascii="Tahoma" w:eastAsia="Cambria" w:hAnsi="Tahoma" w:cs="Tahoma"/>
          <w:sz w:val="20"/>
          <w:szCs w:val="20"/>
          <w:lang w:eastAsia="pl-PL"/>
        </w:rPr>
        <w:t>cego na zasadach ogólnych.</w:t>
      </w:r>
    </w:p>
    <w:p w14:paraId="41680F79" w14:textId="77777777" w:rsidR="004B5256" w:rsidRPr="004B5256" w:rsidRDefault="004B5256" w:rsidP="004B525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50265E50" w14:textId="77777777" w:rsidR="004B5256" w:rsidRPr="004B5256" w:rsidRDefault="004B5256" w:rsidP="004B5256">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12"/>
    <w:p w14:paraId="3392A1F0" w14:textId="77777777" w:rsidR="004B5256" w:rsidRPr="004B5256" w:rsidRDefault="004B5256" w:rsidP="004B5256">
      <w:pPr>
        <w:suppressAutoHyphens/>
        <w:spacing w:after="0" w:line="240" w:lineRule="auto"/>
        <w:jc w:val="center"/>
        <w:rPr>
          <w:rFonts w:ascii="Tahoma" w:eastAsia="Cambria" w:hAnsi="Tahoma" w:cs="Tahoma"/>
          <w:b/>
          <w:bCs/>
          <w:sz w:val="20"/>
          <w:szCs w:val="20"/>
          <w:lang w:eastAsia="ar-SA"/>
        </w:rPr>
      </w:pPr>
      <w:r w:rsidRPr="004B5256">
        <w:rPr>
          <w:rFonts w:ascii="Tahoma" w:eastAsia="Cambria" w:hAnsi="Tahoma" w:cs="Tahoma"/>
          <w:b/>
          <w:bCs/>
          <w:sz w:val="20"/>
          <w:szCs w:val="20"/>
          <w:lang w:eastAsia="ar-SA"/>
        </w:rPr>
        <w:t>§ 6.</w:t>
      </w:r>
    </w:p>
    <w:p w14:paraId="1B5B4257" w14:textId="77777777" w:rsidR="004B5256" w:rsidRPr="004B5256" w:rsidRDefault="004B5256" w:rsidP="004B5256">
      <w:pPr>
        <w:keepNext/>
        <w:spacing w:after="0" w:line="240" w:lineRule="auto"/>
        <w:jc w:val="center"/>
        <w:outlineLvl w:val="3"/>
        <w:rPr>
          <w:rFonts w:ascii="Tahoma" w:eastAsia="Cambria" w:hAnsi="Tahoma" w:cs="Tahoma"/>
          <w:b/>
          <w:bCs/>
          <w:sz w:val="20"/>
          <w:szCs w:val="20"/>
          <w:u w:val="single"/>
          <w:lang w:eastAsia="ar-SA"/>
        </w:rPr>
      </w:pPr>
      <w:r w:rsidRPr="004B5256">
        <w:rPr>
          <w:rFonts w:ascii="Tahoma" w:eastAsia="Cambria" w:hAnsi="Tahoma" w:cs="Tahoma"/>
          <w:b/>
          <w:bCs/>
          <w:sz w:val="20"/>
          <w:szCs w:val="20"/>
          <w:u w:val="single"/>
          <w:lang w:eastAsia="ar-SA"/>
        </w:rPr>
        <w:t>ROZWIĄZANIE I ODSTĄPIENIE OD UMOWY</w:t>
      </w:r>
    </w:p>
    <w:p w14:paraId="170CC864" w14:textId="77777777" w:rsidR="004B5256" w:rsidRPr="004B5256" w:rsidRDefault="004B5256" w:rsidP="004B5256">
      <w:pPr>
        <w:numPr>
          <w:ilvl w:val="0"/>
          <w:numId w:val="45"/>
        </w:numPr>
        <w:spacing w:after="16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6070746D" w14:textId="77777777" w:rsidR="004B5256" w:rsidRPr="004B5256" w:rsidRDefault="004B5256" w:rsidP="004B5256">
      <w:pPr>
        <w:numPr>
          <w:ilvl w:val="0"/>
          <w:numId w:val="45"/>
        </w:numPr>
        <w:suppressAutoHyphens/>
        <w:spacing w:after="0" w:line="240" w:lineRule="auto"/>
        <w:contextualSpacing/>
        <w:jc w:val="both"/>
        <w:rPr>
          <w:rFonts w:ascii="Tahoma" w:eastAsia="Cambria" w:hAnsi="Tahoma" w:cs="Tahoma"/>
          <w:sz w:val="20"/>
          <w:szCs w:val="20"/>
          <w:lang w:eastAsia="ar-SA"/>
        </w:rPr>
      </w:pPr>
      <w:r w:rsidRPr="004B5256">
        <w:rPr>
          <w:rFonts w:ascii="Tahoma" w:eastAsia="Cambria" w:hAnsi="Tahoma" w:cs="Tahoma"/>
          <w:sz w:val="20"/>
          <w:szCs w:val="20"/>
          <w:lang w:eastAsia="pl-PL"/>
        </w:rPr>
        <w:t>Zamawiający może rozwiązać umowę ze skutkiem natychmiastowym w przypadku gdy:</w:t>
      </w:r>
    </w:p>
    <w:p w14:paraId="552F5A1B" w14:textId="77777777" w:rsidR="004B5256" w:rsidRPr="004B5256" w:rsidRDefault="004B5256" w:rsidP="004B5256">
      <w:pPr>
        <w:numPr>
          <w:ilvl w:val="1"/>
          <w:numId w:val="45"/>
        </w:numPr>
        <w:spacing w:after="0" w:line="240" w:lineRule="auto"/>
        <w:ind w:left="567"/>
        <w:jc w:val="both"/>
        <w:rPr>
          <w:rFonts w:ascii="Tahoma" w:eastAsia="Cambria" w:hAnsi="Tahoma" w:cs="Tahoma"/>
          <w:sz w:val="20"/>
          <w:szCs w:val="20"/>
          <w:lang w:eastAsia="pl-PL"/>
        </w:rPr>
      </w:pPr>
      <w:r w:rsidRPr="004B5256">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14A095DA" w14:textId="77777777" w:rsidR="004B5256" w:rsidRPr="004B5256" w:rsidRDefault="004B5256" w:rsidP="004B5256">
      <w:pPr>
        <w:numPr>
          <w:ilvl w:val="1"/>
          <w:numId w:val="45"/>
        </w:numPr>
        <w:spacing w:after="0" w:line="240" w:lineRule="auto"/>
        <w:ind w:left="567"/>
        <w:jc w:val="both"/>
        <w:rPr>
          <w:rFonts w:ascii="Tahoma" w:eastAsia="Cambria" w:hAnsi="Tahoma" w:cs="Tahoma"/>
          <w:sz w:val="20"/>
          <w:szCs w:val="20"/>
          <w:lang w:eastAsia="pl-PL"/>
        </w:rPr>
      </w:pPr>
      <w:r w:rsidRPr="004B5256">
        <w:rPr>
          <w:rFonts w:ascii="Tahoma" w:eastAsia="Cambria" w:hAnsi="Tahoma" w:cs="Tahoma"/>
          <w:sz w:val="20"/>
          <w:szCs w:val="20"/>
          <w:lang w:eastAsia="pl-PL"/>
        </w:rPr>
        <w:t>Zwłoka w  zrealizowaniu którejkolwiek dostawy częściowej przekroczy 10 dni kalendarzowych;</w:t>
      </w:r>
    </w:p>
    <w:p w14:paraId="6FA19014" w14:textId="77777777" w:rsidR="004B5256" w:rsidRPr="004B5256" w:rsidRDefault="004B5256" w:rsidP="004B5256">
      <w:pPr>
        <w:numPr>
          <w:ilvl w:val="1"/>
          <w:numId w:val="45"/>
        </w:numPr>
        <w:spacing w:after="0" w:line="240" w:lineRule="auto"/>
        <w:ind w:left="567"/>
        <w:jc w:val="both"/>
        <w:rPr>
          <w:rFonts w:ascii="Tahoma" w:eastAsia="Cambria" w:hAnsi="Tahoma" w:cs="Tahoma"/>
          <w:sz w:val="20"/>
          <w:szCs w:val="20"/>
          <w:lang w:eastAsia="pl-PL"/>
        </w:rPr>
      </w:pPr>
      <w:r w:rsidRPr="004B5256">
        <w:rPr>
          <w:rFonts w:ascii="Tahoma" w:eastAsia="Cambria" w:hAnsi="Tahoma" w:cs="Tahoma"/>
          <w:sz w:val="20"/>
          <w:szCs w:val="20"/>
          <w:lang w:eastAsia="pl-PL"/>
        </w:rPr>
        <w:t>Wykonawca pozostaje w zwłoce z realizacją obowiązków określonych w § 4ust.2 umowy o ponad 10 dni kalendarzowych.</w:t>
      </w:r>
    </w:p>
    <w:p w14:paraId="24213ED6" w14:textId="77777777" w:rsidR="004B5256" w:rsidRPr="004B5256" w:rsidRDefault="004B5256" w:rsidP="004B5256">
      <w:pPr>
        <w:numPr>
          <w:ilvl w:val="0"/>
          <w:numId w:val="45"/>
        </w:numPr>
        <w:spacing w:after="0" w:line="240" w:lineRule="auto"/>
        <w:contextualSpacing/>
        <w:jc w:val="both"/>
        <w:rPr>
          <w:rFonts w:ascii="Tahoma" w:eastAsia="Calibri" w:hAnsi="Tahoma" w:cs="Tahoma"/>
          <w:sz w:val="20"/>
          <w:szCs w:val="20"/>
          <w:lang w:eastAsia="pl-PL"/>
        </w:rPr>
      </w:pPr>
      <w:r w:rsidRPr="004B5256">
        <w:rPr>
          <w:rFonts w:ascii="Tahoma" w:eastAsia="Calibri" w:hAnsi="Tahoma" w:cs="Tahoma"/>
          <w:sz w:val="20"/>
          <w:szCs w:val="20"/>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p w14:paraId="2A745D0D" w14:textId="77777777" w:rsidR="004B5256" w:rsidRPr="004B5256" w:rsidRDefault="004B5256" w:rsidP="004B5256">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Dla skuteczności oświadczenia o rozwiązaniu umowy, wystarczające jest jego przesłanie na adres Wykonawcy wskazany w umowie.</w:t>
      </w:r>
    </w:p>
    <w:p w14:paraId="4D22963C" w14:textId="77777777" w:rsidR="004B5256" w:rsidRPr="004B5256" w:rsidRDefault="004B5256" w:rsidP="004B5256">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4B5256">
        <w:rPr>
          <w:rFonts w:ascii="Tahoma" w:eastAsia="Cambria" w:hAnsi="Tahoma" w:cs="Tahoma"/>
          <w:sz w:val="20"/>
          <w:szCs w:val="20"/>
          <w:lang w:eastAsia="pl-PL"/>
        </w:rPr>
        <w:t>Rozwiązanie umowy na podstawie ust. 2 niniejszego paragrafu nie zwalnia Wykonawcy od obowiązku zapłaty kar umownych i odszkodowań.</w:t>
      </w:r>
    </w:p>
    <w:p w14:paraId="42EA65D2" w14:textId="77777777" w:rsidR="004B5256" w:rsidRPr="004B5256" w:rsidRDefault="004B5256" w:rsidP="004B5256">
      <w:pPr>
        <w:spacing w:after="0" w:line="240" w:lineRule="auto"/>
        <w:jc w:val="center"/>
        <w:rPr>
          <w:rFonts w:ascii="Tahoma" w:eastAsia="Cambria" w:hAnsi="Tahoma" w:cs="Tahoma"/>
          <w:b/>
          <w:bCs/>
          <w:sz w:val="20"/>
          <w:szCs w:val="20"/>
          <w:lang w:eastAsia="pl-PL"/>
        </w:rPr>
      </w:pPr>
      <w:r w:rsidRPr="004B5256">
        <w:rPr>
          <w:rFonts w:ascii="Tahoma" w:eastAsia="Cambria" w:hAnsi="Tahoma" w:cs="Tahoma"/>
          <w:b/>
          <w:bCs/>
          <w:sz w:val="20"/>
          <w:szCs w:val="20"/>
          <w:lang w:eastAsia="pl-PL"/>
        </w:rPr>
        <w:t>§ 7.</w:t>
      </w:r>
    </w:p>
    <w:p w14:paraId="355103F4" w14:textId="77777777" w:rsidR="004B5256" w:rsidRPr="004B5256" w:rsidRDefault="004B5256" w:rsidP="004B5256">
      <w:pPr>
        <w:spacing w:after="0" w:line="240" w:lineRule="auto"/>
        <w:jc w:val="center"/>
        <w:rPr>
          <w:rFonts w:ascii="Tahoma" w:eastAsia="Cambria" w:hAnsi="Tahoma" w:cs="Tahoma"/>
          <w:b/>
          <w:bCs/>
          <w:sz w:val="20"/>
          <w:szCs w:val="20"/>
          <w:u w:val="single"/>
          <w:lang w:eastAsia="pl-PL"/>
        </w:rPr>
      </w:pPr>
      <w:r w:rsidRPr="004B5256">
        <w:rPr>
          <w:rFonts w:ascii="Tahoma" w:eastAsia="Cambria" w:hAnsi="Tahoma" w:cs="Tahoma"/>
          <w:b/>
          <w:bCs/>
          <w:sz w:val="20"/>
          <w:szCs w:val="20"/>
          <w:u w:val="single"/>
          <w:lang w:eastAsia="pl-PL"/>
        </w:rPr>
        <w:t>POSTANOWIENIA KOŃCOWE</w:t>
      </w:r>
    </w:p>
    <w:p w14:paraId="0011793E" w14:textId="77777777" w:rsidR="004B5256" w:rsidRPr="004B5256" w:rsidRDefault="004B5256" w:rsidP="004B5256">
      <w:pPr>
        <w:widowControl w:val="0"/>
        <w:numPr>
          <w:ilvl w:val="0"/>
          <w:numId w:val="93"/>
        </w:numPr>
        <w:suppressAutoHyphens/>
        <w:spacing w:after="0" w:line="240" w:lineRule="auto"/>
        <w:contextualSpacing/>
        <w:jc w:val="both"/>
        <w:rPr>
          <w:rFonts w:ascii="Tahoma" w:eastAsia="Times New Roman" w:hAnsi="Tahoma" w:cs="Tahoma"/>
          <w:sz w:val="20"/>
          <w:szCs w:val="20"/>
          <w:lang w:eastAsia="ar-SA"/>
        </w:rPr>
      </w:pPr>
      <w:r w:rsidRPr="004B5256">
        <w:rPr>
          <w:rFonts w:ascii="Tahoma" w:eastAsia="Cambria" w:hAnsi="Tahoma" w:cs="Tahoma"/>
          <w:sz w:val="20"/>
          <w:szCs w:val="20"/>
          <w:lang w:eastAsia="pl-PL"/>
        </w:rPr>
        <w:t>Umowa zawarta jest na okres 24 miesięcy od dnia zawarcia</w:t>
      </w:r>
      <w:r w:rsidRPr="004B5256">
        <w:rPr>
          <w:rFonts w:ascii="Tahoma" w:eastAsia="Times New Roman" w:hAnsi="Tahoma" w:cs="Tahoma"/>
          <w:sz w:val="20"/>
          <w:szCs w:val="20"/>
          <w:lang w:eastAsia="pl-PL"/>
        </w:rPr>
        <w:t xml:space="preserve"> .</w:t>
      </w:r>
    </w:p>
    <w:p w14:paraId="3964EB95" w14:textId="77777777" w:rsidR="004B5256" w:rsidRPr="004B5256" w:rsidRDefault="004B5256" w:rsidP="004B5256">
      <w:pPr>
        <w:widowControl w:val="0"/>
        <w:numPr>
          <w:ilvl w:val="0"/>
          <w:numId w:val="93"/>
        </w:numPr>
        <w:tabs>
          <w:tab w:val="num" w:pos="720"/>
        </w:tabs>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6FAE8579" w14:textId="77777777" w:rsidR="004B5256" w:rsidRPr="004B5256" w:rsidRDefault="004B5256" w:rsidP="004B5256">
      <w:pPr>
        <w:widowControl w:val="0"/>
        <w:numPr>
          <w:ilvl w:val="0"/>
          <w:numId w:val="93"/>
        </w:numPr>
        <w:tabs>
          <w:tab w:val="num" w:pos="720"/>
        </w:tabs>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W przypadku niejasności w zapisach niniejszej umowy Strony mogą odwołać się do zapisów w Specyfikacji Warunków Zamówienia.</w:t>
      </w:r>
    </w:p>
    <w:p w14:paraId="15437257" w14:textId="77777777" w:rsidR="004B5256" w:rsidRPr="004B5256" w:rsidRDefault="004B5256" w:rsidP="004B5256">
      <w:pPr>
        <w:widowControl w:val="0"/>
        <w:numPr>
          <w:ilvl w:val="0"/>
          <w:numId w:val="93"/>
        </w:numPr>
        <w:tabs>
          <w:tab w:val="num" w:pos="720"/>
        </w:tabs>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Strony dopuszczają zmiany w umowie w zakresie:</w:t>
      </w:r>
    </w:p>
    <w:p w14:paraId="57861EFD" w14:textId="77777777" w:rsidR="004B5256" w:rsidRPr="004B5256" w:rsidRDefault="004B5256" w:rsidP="004B5256">
      <w:pPr>
        <w:numPr>
          <w:ilvl w:val="1"/>
          <w:numId w:val="46"/>
        </w:numPr>
        <w:tabs>
          <w:tab w:val="num" w:pos="397"/>
        </w:tabs>
        <w:spacing w:after="160" w:line="240" w:lineRule="auto"/>
        <w:ind w:left="397"/>
        <w:contextualSpacing/>
        <w:jc w:val="both"/>
        <w:rPr>
          <w:rFonts w:ascii="Tahoma" w:eastAsia="Cambria" w:hAnsi="Tahoma" w:cs="Tahoma"/>
          <w:bCs/>
          <w:sz w:val="20"/>
          <w:szCs w:val="20"/>
          <w:lang w:eastAsia="pl-PL"/>
        </w:rPr>
      </w:pPr>
      <w:r w:rsidRPr="004B5256">
        <w:rPr>
          <w:rFonts w:ascii="Tahoma" w:eastAsia="Cambria" w:hAnsi="Tahoma" w:cs="Tahoma"/>
          <w:bCs/>
          <w:sz w:val="20"/>
          <w:szCs w:val="20"/>
          <w:lang w:eastAsia="pl-PL"/>
        </w:rPr>
        <w:t>zmiany danych stron (np. zmiana siedziby, adresu, nazwy), które wymagają dla swej skuteczności pisemnego powiadomienia drugiej Strony;</w:t>
      </w:r>
    </w:p>
    <w:p w14:paraId="4F5FB044" w14:textId="77777777" w:rsidR="004B5256" w:rsidRPr="004B5256" w:rsidRDefault="004B5256" w:rsidP="004B5256">
      <w:pPr>
        <w:numPr>
          <w:ilvl w:val="1"/>
          <w:numId w:val="46"/>
        </w:numPr>
        <w:tabs>
          <w:tab w:val="num" w:pos="397"/>
        </w:tabs>
        <w:spacing w:after="160" w:line="240" w:lineRule="auto"/>
        <w:ind w:left="397"/>
        <w:contextualSpacing/>
        <w:jc w:val="both"/>
        <w:rPr>
          <w:rFonts w:ascii="Tahoma" w:eastAsia="Cambria" w:hAnsi="Tahoma" w:cs="Tahoma"/>
          <w:bCs/>
          <w:sz w:val="20"/>
          <w:szCs w:val="20"/>
          <w:lang w:eastAsia="pl-PL"/>
        </w:rPr>
      </w:pPr>
      <w:r w:rsidRPr="004B5256">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Apteki/z-cy Kierownika Apteki  Zamawiającego i nie wymaga zawarcia aneksu do umowy. Produkt równoważny zostanie Zamawiającemu dostarczony po cenie nie wyższej aniżeli cena produktu zawartego w ofercie Wykonawcy;</w:t>
      </w:r>
    </w:p>
    <w:p w14:paraId="24FA112C" w14:textId="77777777" w:rsidR="004B5256" w:rsidRPr="004B5256" w:rsidRDefault="004B5256" w:rsidP="004B5256">
      <w:pPr>
        <w:numPr>
          <w:ilvl w:val="1"/>
          <w:numId w:val="46"/>
        </w:numPr>
        <w:tabs>
          <w:tab w:val="num" w:pos="397"/>
        </w:tabs>
        <w:spacing w:after="160" w:line="240" w:lineRule="auto"/>
        <w:ind w:left="397"/>
        <w:contextualSpacing/>
        <w:jc w:val="both"/>
        <w:rPr>
          <w:rFonts w:ascii="Tahoma" w:eastAsia="Cambria" w:hAnsi="Tahoma" w:cs="Tahoma"/>
          <w:bCs/>
          <w:sz w:val="20"/>
          <w:szCs w:val="20"/>
          <w:lang w:eastAsia="pl-PL"/>
        </w:rPr>
      </w:pPr>
      <w:r w:rsidRPr="004B5256">
        <w:rPr>
          <w:rFonts w:ascii="Tahoma" w:eastAsia="Cambria" w:hAnsi="Tahoma" w:cs="Tahoma"/>
          <w:bCs/>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2871911D" w14:textId="77777777" w:rsidR="004B5256" w:rsidRPr="004B5256" w:rsidRDefault="004B5256" w:rsidP="004B5256">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w:t>
      </w:r>
      <w:r w:rsidRPr="004B5256">
        <w:rPr>
          <w:rFonts w:ascii="Tahoma" w:eastAsia="Cambria" w:hAnsi="Tahoma" w:cs="Tahoma"/>
          <w:sz w:val="20"/>
          <w:szCs w:val="20"/>
          <w:lang w:eastAsia="pl-PL"/>
        </w:rPr>
        <w:lastRenderedPageBreak/>
        <w:t xml:space="preserve">dostawy Produktu leczniczego, którego dotyczy zmiana urzędowej ceny zbytu, </w:t>
      </w:r>
      <w:r w:rsidRPr="004B5256">
        <w:rPr>
          <w:rFonts w:ascii="Tahoma" w:eastAsia="Cambria" w:hAnsi="Tahoma" w:cs="Tahoma"/>
          <w:color w:val="000000"/>
          <w:sz w:val="20"/>
          <w:szCs w:val="20"/>
        </w:rPr>
        <w:t>z przyczyn za które nie odpowiada Wykonawca.</w:t>
      </w:r>
    </w:p>
    <w:p w14:paraId="27D8CDFE" w14:textId="77777777" w:rsidR="004B5256" w:rsidRPr="004B5256" w:rsidRDefault="004B5256" w:rsidP="004B5256">
      <w:pPr>
        <w:spacing w:after="0" w:line="240" w:lineRule="auto"/>
        <w:ind w:left="360"/>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4363558D" w14:textId="77777777" w:rsidR="004B5256" w:rsidRPr="004B5256" w:rsidRDefault="004B5256" w:rsidP="004B5256">
      <w:pPr>
        <w:numPr>
          <w:ilvl w:val="1"/>
          <w:numId w:val="46"/>
        </w:numPr>
        <w:tabs>
          <w:tab w:val="num" w:pos="397"/>
        </w:tabs>
        <w:spacing w:after="160" w:line="240" w:lineRule="auto"/>
        <w:ind w:left="397"/>
        <w:contextualSpacing/>
        <w:jc w:val="both"/>
        <w:rPr>
          <w:rFonts w:ascii="Tahoma" w:eastAsia="Cambria" w:hAnsi="Tahoma" w:cs="Tahoma"/>
          <w:bCs/>
          <w:sz w:val="20"/>
          <w:szCs w:val="20"/>
          <w:lang w:eastAsia="pl-PL"/>
        </w:rPr>
      </w:pPr>
      <w:r w:rsidRPr="004B5256">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54D5D89D" w14:textId="77777777" w:rsidR="004B5256" w:rsidRPr="004B5256" w:rsidRDefault="004B5256" w:rsidP="004B5256">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4B5256">
        <w:rPr>
          <w:rFonts w:ascii="Tahoma" w:eastAsia="Cambria" w:hAnsi="Tahoma" w:cs="Tahoma"/>
          <w:bCs/>
          <w:sz w:val="20"/>
          <w:szCs w:val="20"/>
          <w:lang w:eastAsia="pl-PL"/>
        </w:rPr>
        <w:t>zmiany rachunku bankowego Wykonawcy wskazanego  w § 3 ust.3 niniejszej umowy.</w:t>
      </w:r>
    </w:p>
    <w:p w14:paraId="2AE3E96F" w14:textId="77777777" w:rsidR="004B5256" w:rsidRPr="004B5256" w:rsidRDefault="004B5256" w:rsidP="004B5256">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047F1E78" w14:textId="77777777" w:rsidR="004B5256" w:rsidRPr="004B5256" w:rsidRDefault="004B5256" w:rsidP="004B5256">
      <w:pPr>
        <w:numPr>
          <w:ilvl w:val="0"/>
          <w:numId w:val="93"/>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Zmiany określone w ust. 4 pkt f) - g) wymagają formy pisemnego aneksu pod rygorem nieważności.</w:t>
      </w:r>
    </w:p>
    <w:p w14:paraId="1BC09E97" w14:textId="77777777" w:rsidR="004B5256" w:rsidRPr="004B5256" w:rsidRDefault="004B5256" w:rsidP="004B5256">
      <w:pPr>
        <w:numPr>
          <w:ilvl w:val="0"/>
          <w:numId w:val="93"/>
        </w:numPr>
        <w:suppressAutoHyphens/>
        <w:spacing w:after="0" w:line="100" w:lineRule="atLeast"/>
        <w:contextualSpacing/>
        <w:jc w:val="both"/>
        <w:rPr>
          <w:rFonts w:ascii="Tahoma" w:eastAsia="Cambria" w:hAnsi="Tahoma" w:cs="Tahoma"/>
          <w:kern w:val="1"/>
          <w:sz w:val="20"/>
          <w:szCs w:val="20"/>
          <w:lang w:eastAsia="hi-IN" w:bidi="hi-IN"/>
        </w:rPr>
      </w:pPr>
      <w:bookmarkStart w:id="13" w:name="_Hlk76376872"/>
      <w:r w:rsidRPr="004B5256">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790B4C9" w14:textId="77777777" w:rsidR="004B5256" w:rsidRPr="004B5256" w:rsidRDefault="004B5256" w:rsidP="004B5256">
      <w:pPr>
        <w:numPr>
          <w:ilvl w:val="0"/>
          <w:numId w:val="56"/>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zmiany stawki podatku od towarów i usług oraz podatku akcyzowego ,</w:t>
      </w:r>
    </w:p>
    <w:p w14:paraId="15746A20" w14:textId="77777777" w:rsidR="004B5256" w:rsidRPr="004B5256" w:rsidRDefault="004B5256" w:rsidP="004B5256">
      <w:pPr>
        <w:numPr>
          <w:ilvl w:val="0"/>
          <w:numId w:val="56"/>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2E17FEB4" w14:textId="77777777" w:rsidR="004B5256" w:rsidRPr="004B5256" w:rsidRDefault="004B5256" w:rsidP="004B5256">
      <w:pPr>
        <w:numPr>
          <w:ilvl w:val="0"/>
          <w:numId w:val="56"/>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69931841" w14:textId="77777777" w:rsidR="004B5256" w:rsidRPr="004B5256" w:rsidRDefault="004B5256" w:rsidP="004B5256">
      <w:pPr>
        <w:numPr>
          <w:ilvl w:val="0"/>
          <w:numId w:val="56"/>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4B165FC9" w14:textId="77777777" w:rsidR="004B5256" w:rsidRPr="004B5256" w:rsidRDefault="004B5256" w:rsidP="004B5256">
      <w:pPr>
        <w:spacing w:after="0" w:line="240" w:lineRule="auto"/>
        <w:ind w:left="227"/>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jeżeli zmiany te będą miały wpływ na koszty wykonania zamówienia przez Wykonawcę.</w:t>
      </w:r>
    </w:p>
    <w:p w14:paraId="34658A9F" w14:textId="77777777" w:rsidR="004B5256" w:rsidRPr="004B5256" w:rsidRDefault="004B5256" w:rsidP="004B5256">
      <w:pPr>
        <w:numPr>
          <w:ilvl w:val="0"/>
          <w:numId w:val="93"/>
        </w:numPr>
        <w:tabs>
          <w:tab w:val="num" w:pos="360"/>
        </w:tabs>
        <w:suppressAutoHyphens/>
        <w:spacing w:after="0" w:line="100" w:lineRule="atLeast"/>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683BF1E" w14:textId="77777777" w:rsidR="004B5256" w:rsidRPr="004B5256" w:rsidRDefault="004B5256" w:rsidP="004B5256">
      <w:pPr>
        <w:numPr>
          <w:ilvl w:val="0"/>
          <w:numId w:val="54"/>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 xml:space="preserve">wskazanie okoliczności stanowiącej podstawę do zmiany; </w:t>
      </w:r>
    </w:p>
    <w:p w14:paraId="7747B511" w14:textId="77777777" w:rsidR="004B5256" w:rsidRPr="004B5256" w:rsidRDefault="004B5256" w:rsidP="004B5256">
      <w:pPr>
        <w:numPr>
          <w:ilvl w:val="0"/>
          <w:numId w:val="54"/>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uzasadnienie wskazujące jaki wpływ ma okoliczność na wysokość wynagrodzenia Wykonawcy;</w:t>
      </w:r>
    </w:p>
    <w:p w14:paraId="14FA3ED8" w14:textId="77777777" w:rsidR="004B5256" w:rsidRPr="004B5256" w:rsidRDefault="004B5256" w:rsidP="004B5256">
      <w:pPr>
        <w:numPr>
          <w:ilvl w:val="0"/>
          <w:numId w:val="54"/>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propozycję nowej wysokości wynagrodzenia.</w:t>
      </w:r>
    </w:p>
    <w:p w14:paraId="5F49AD13" w14:textId="77777777" w:rsidR="004B5256" w:rsidRPr="004B5256" w:rsidRDefault="004B5256" w:rsidP="004B5256">
      <w:pPr>
        <w:suppressAutoHyphens/>
        <w:spacing w:after="0" w:line="100" w:lineRule="atLeast"/>
        <w:ind w:left="358"/>
        <w:jc w:val="both"/>
        <w:rPr>
          <w:rFonts w:ascii="Tahoma" w:eastAsia="Cambria" w:hAnsi="Tahoma" w:cs="Tahoma"/>
          <w:sz w:val="20"/>
          <w:szCs w:val="20"/>
          <w:lang w:eastAsia="pl-PL"/>
        </w:rPr>
      </w:pPr>
      <w:r w:rsidRPr="004B5256">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8818C1E" w14:textId="77777777" w:rsidR="004B5256" w:rsidRPr="004B5256" w:rsidRDefault="004B5256" w:rsidP="004B5256">
      <w:pPr>
        <w:spacing w:after="0" w:line="100" w:lineRule="atLeast"/>
        <w:ind w:left="284" w:hanging="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 xml:space="preserve">8.  Zmiana umowy z przyczyn wskazanych w ust. 6 pkt. b) może </w:t>
      </w:r>
      <w:r w:rsidRPr="004B5256">
        <w:rPr>
          <w:rFonts w:ascii="Tahoma" w:eastAsia="Times New Roman" w:hAnsi="Tahoma" w:cs="Tahoma"/>
          <w:sz w:val="20"/>
          <w:szCs w:val="20"/>
          <w:lang w:eastAsia="hi-IN" w:bidi="hi-IN"/>
        </w:rPr>
        <w:t>nastąpić nie wcześniej niż od 1 stycznia 2024 r. z</w:t>
      </w:r>
      <w:r w:rsidRPr="004B5256">
        <w:rPr>
          <w:rFonts w:ascii="Tahoma" w:eastAsia="Times New Roman" w:hAnsi="Tahoma" w:cs="Tahoma"/>
          <w:sz w:val="20"/>
          <w:szCs w:val="20"/>
          <w:lang w:eastAsia="pl-PL"/>
        </w:rPr>
        <w:t xml:space="preserve"> uwagi na fakt, iż na dzień składania ofert znana jest wysokoś kwot minimalnego wynagrodzenia, minimalnej stawki godzinowej obowiązujące od 1 lipca 2023 r. i wartość tych kwot winna zostać już uwzględniona w wynagrodzeniu Wykonawcy, chyba że do tego czasu zmianie uległyby regulacje prawne w powyższym zakresie.</w:t>
      </w:r>
    </w:p>
    <w:p w14:paraId="0CE9290D" w14:textId="77777777" w:rsidR="004B5256" w:rsidRPr="004B5256" w:rsidRDefault="004B5256" w:rsidP="004B5256">
      <w:pPr>
        <w:widowControl w:val="0"/>
        <w:spacing w:after="0" w:line="240" w:lineRule="auto"/>
        <w:ind w:left="284" w:hanging="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67D89C81" w14:textId="77777777" w:rsidR="004B5256" w:rsidRPr="004B5256" w:rsidRDefault="004B5256" w:rsidP="004B5256">
      <w:pPr>
        <w:widowControl w:val="0"/>
        <w:spacing w:after="0" w:line="240" w:lineRule="auto"/>
        <w:ind w:left="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7BF8F752" w14:textId="77777777" w:rsidR="004B5256" w:rsidRPr="004B5256" w:rsidRDefault="004B5256" w:rsidP="004B5256">
      <w:pPr>
        <w:widowControl w:val="0"/>
        <w:spacing w:after="0"/>
        <w:ind w:left="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b) zmiany mogą być wprowadzone na wniosek Strony nie wcześniej niż po upływie pół roku od dnia zawarcia umowy;</w:t>
      </w:r>
    </w:p>
    <w:p w14:paraId="19350BAA" w14:textId="77777777" w:rsidR="004B5256" w:rsidRPr="004B5256" w:rsidRDefault="004B5256" w:rsidP="004B5256">
      <w:pPr>
        <w:widowControl w:val="0"/>
        <w:spacing w:after="0" w:line="240" w:lineRule="auto"/>
        <w:ind w:left="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30D2A70" w14:textId="77777777" w:rsidR="004B5256" w:rsidRPr="004B5256" w:rsidRDefault="004B5256" w:rsidP="004B5256">
      <w:pPr>
        <w:widowControl w:val="0"/>
        <w:spacing w:after="0" w:line="240" w:lineRule="auto"/>
        <w:ind w:left="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4B21CE92" w14:textId="77777777" w:rsidR="004B5256" w:rsidRPr="004B5256" w:rsidRDefault="004B5256" w:rsidP="004B5256">
      <w:pPr>
        <w:widowControl w:val="0"/>
        <w:spacing w:after="0" w:line="240" w:lineRule="auto"/>
        <w:ind w:left="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lastRenderedPageBreak/>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AFEA69B" w14:textId="77777777" w:rsidR="004B5256" w:rsidRPr="004B5256" w:rsidRDefault="004B5256" w:rsidP="004B5256">
      <w:pPr>
        <w:widowControl w:val="0"/>
        <w:spacing w:after="0" w:line="240" w:lineRule="auto"/>
        <w:ind w:left="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f) podwyższenie cen umownych w ramach procesu waloryzacji nie może przekroczyć wysokości wskaźnika GUS, o którym mowa w pkt. a);</w:t>
      </w:r>
    </w:p>
    <w:p w14:paraId="464A73E8" w14:textId="77777777" w:rsidR="004B5256" w:rsidRPr="004B5256" w:rsidRDefault="004B5256" w:rsidP="004B5256">
      <w:pPr>
        <w:widowControl w:val="0"/>
        <w:spacing w:after="0" w:line="240" w:lineRule="auto"/>
        <w:ind w:left="284"/>
        <w:jc w:val="both"/>
        <w:rPr>
          <w:rFonts w:ascii="Tahoma" w:eastAsia="Times New Roman" w:hAnsi="Tahoma" w:cs="Tahoma"/>
          <w:sz w:val="20"/>
          <w:szCs w:val="20"/>
          <w:lang w:eastAsia="pl-PL"/>
        </w:rPr>
      </w:pPr>
      <w:r w:rsidRPr="004B5256">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314D5ED4" w14:textId="77777777" w:rsidR="004B5256" w:rsidRPr="004B5256" w:rsidRDefault="004B5256" w:rsidP="004B5256">
      <w:pPr>
        <w:widowControl w:val="0"/>
        <w:spacing w:after="0" w:line="240" w:lineRule="auto"/>
        <w:ind w:left="284"/>
        <w:jc w:val="both"/>
        <w:rPr>
          <w:rFonts w:ascii="Tahoma" w:eastAsia="Arial Unicode MS" w:hAnsi="Tahoma" w:cs="Tahoma"/>
          <w:sz w:val="20"/>
          <w:szCs w:val="20"/>
          <w:lang w:eastAsia="pl-PL"/>
        </w:rPr>
      </w:pPr>
      <w:r w:rsidRPr="004B5256">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003BB2CD" w14:textId="77777777" w:rsidR="004B5256" w:rsidRPr="004B5256" w:rsidRDefault="004B5256" w:rsidP="004B5256">
      <w:pPr>
        <w:spacing w:after="0"/>
        <w:ind w:left="284" w:hanging="284"/>
        <w:jc w:val="both"/>
        <w:rPr>
          <w:rFonts w:ascii="Tahoma" w:eastAsia="Cambria" w:hAnsi="Tahoma" w:cs="Tahoma"/>
          <w:sz w:val="20"/>
          <w:szCs w:val="20"/>
          <w:lang w:eastAsia="pl-PL"/>
        </w:rPr>
      </w:pPr>
      <w:r w:rsidRPr="004B5256">
        <w:rPr>
          <w:rFonts w:ascii="Tahoma" w:eastAsia="Arial Unicode MS" w:hAnsi="Tahoma" w:cs="Tahoma"/>
          <w:sz w:val="20"/>
          <w:szCs w:val="20"/>
          <w:lang w:eastAsia="pl-PL"/>
        </w:rPr>
        <w:t>10.Zmiany określone w ust. 6 – 9 powyżej wymagają formy pisemnego aneksu pod rygorem nieważności</w:t>
      </w:r>
    </w:p>
    <w:p w14:paraId="0D471667" w14:textId="77777777" w:rsidR="004B5256" w:rsidRPr="004B5256" w:rsidRDefault="004B5256" w:rsidP="004B5256">
      <w:pPr>
        <w:numPr>
          <w:ilvl w:val="0"/>
          <w:numId w:val="63"/>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B331C2C" w14:textId="77777777" w:rsidR="004B5256" w:rsidRPr="004B5256" w:rsidRDefault="004B5256" w:rsidP="004B5256">
      <w:pPr>
        <w:widowControl w:val="0"/>
        <w:numPr>
          <w:ilvl w:val="0"/>
          <w:numId w:val="63"/>
        </w:numPr>
        <w:tabs>
          <w:tab w:val="num" w:pos="720"/>
        </w:tabs>
        <w:suppressAutoHyphens/>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Wszelkie spory wynikłe na tle realizacji umowy będzie rozstrzygał sąd powszechny właściwy miejscowo dla siedziby Zamawiającego.</w:t>
      </w:r>
    </w:p>
    <w:p w14:paraId="72CCB963" w14:textId="77777777" w:rsidR="004B5256" w:rsidRPr="004B5256" w:rsidRDefault="004B5256" w:rsidP="004B5256">
      <w:pPr>
        <w:widowControl w:val="0"/>
        <w:numPr>
          <w:ilvl w:val="0"/>
          <w:numId w:val="63"/>
        </w:numPr>
        <w:spacing w:after="0" w:line="240" w:lineRule="auto"/>
        <w:contextualSpacing/>
        <w:jc w:val="both"/>
        <w:rPr>
          <w:rFonts w:ascii="Tahoma" w:eastAsia="Cambria" w:hAnsi="Tahoma" w:cs="Tahoma"/>
          <w:sz w:val="20"/>
          <w:szCs w:val="20"/>
          <w:lang w:eastAsia="pl-PL"/>
        </w:rPr>
      </w:pPr>
      <w:r w:rsidRPr="004B5256">
        <w:rPr>
          <w:rFonts w:ascii="Tahoma" w:eastAsia="Cambria" w:hAnsi="Tahoma" w:cs="Tahoma"/>
          <w:sz w:val="20"/>
          <w:szCs w:val="20"/>
          <w:lang w:eastAsia="pl-PL"/>
        </w:rPr>
        <w:t>Umowę sporządzono w trzech jednobrzmiących egzemplarzach, dwa egzemplarze dla Zamawiającego, jeden egzemplarz dla Wykonawcy</w:t>
      </w:r>
    </w:p>
    <w:bookmarkEnd w:id="13"/>
    <w:p w14:paraId="32F0EDCC" w14:textId="77777777" w:rsidR="004B5256" w:rsidRPr="004B5256" w:rsidRDefault="004B5256" w:rsidP="004B5256">
      <w:pPr>
        <w:widowControl w:val="0"/>
        <w:suppressAutoHyphens/>
        <w:spacing w:after="0" w:line="240" w:lineRule="auto"/>
        <w:rPr>
          <w:rFonts w:ascii="Tahoma" w:eastAsia="Cambria" w:hAnsi="Tahoma" w:cs="Tahoma"/>
          <w:kern w:val="2"/>
          <w:sz w:val="20"/>
          <w:szCs w:val="20"/>
          <w:lang w:eastAsia="ar-SA"/>
        </w:rPr>
      </w:pPr>
    </w:p>
    <w:p w14:paraId="5FDF7510" w14:textId="77777777" w:rsidR="004B5256" w:rsidRPr="004B5256" w:rsidRDefault="004B5256" w:rsidP="004B5256">
      <w:pPr>
        <w:widowControl w:val="0"/>
        <w:suppressAutoHyphens/>
        <w:spacing w:after="0" w:line="240" w:lineRule="auto"/>
        <w:rPr>
          <w:rFonts w:ascii="Tahoma" w:eastAsia="Cambria" w:hAnsi="Tahoma" w:cs="Tahoma"/>
          <w:kern w:val="2"/>
          <w:sz w:val="20"/>
          <w:szCs w:val="20"/>
          <w:highlight w:val="yellow"/>
          <w:lang w:eastAsia="ar-SA"/>
        </w:rPr>
      </w:pPr>
    </w:p>
    <w:p w14:paraId="1A9ACB5E" w14:textId="77777777" w:rsidR="004B5256" w:rsidRPr="004B5256" w:rsidRDefault="004B5256" w:rsidP="004B5256">
      <w:pPr>
        <w:widowControl w:val="0"/>
        <w:suppressAutoHyphens/>
        <w:spacing w:after="0" w:line="240" w:lineRule="auto"/>
        <w:rPr>
          <w:rFonts w:ascii="Tahoma" w:eastAsia="Cambria" w:hAnsi="Tahoma" w:cs="Tahoma"/>
          <w:kern w:val="2"/>
          <w:sz w:val="20"/>
          <w:szCs w:val="20"/>
          <w:lang w:eastAsia="ar-SA"/>
        </w:rPr>
      </w:pPr>
      <w:r w:rsidRPr="004B5256">
        <w:rPr>
          <w:rFonts w:ascii="Tahoma" w:eastAsia="Cambria" w:hAnsi="Tahoma" w:cs="Tahoma"/>
          <w:kern w:val="2"/>
          <w:sz w:val="20"/>
          <w:szCs w:val="20"/>
          <w:lang w:eastAsia="ar-SA"/>
        </w:rPr>
        <w:t>Załączniki do umowy:</w:t>
      </w:r>
    </w:p>
    <w:p w14:paraId="3F78A5D9" w14:textId="77777777" w:rsidR="004B5256" w:rsidRPr="004B5256" w:rsidRDefault="004B5256" w:rsidP="004B5256">
      <w:pPr>
        <w:numPr>
          <w:ilvl w:val="0"/>
          <w:numId w:val="51"/>
        </w:numPr>
        <w:spacing w:after="0" w:line="240" w:lineRule="auto"/>
        <w:ind w:left="720"/>
        <w:contextualSpacing/>
        <w:rPr>
          <w:rFonts w:ascii="Tahoma" w:eastAsia="Cambria" w:hAnsi="Tahoma" w:cs="Tahoma"/>
          <w:sz w:val="20"/>
          <w:szCs w:val="20"/>
          <w:lang w:eastAsia="pl-PL"/>
        </w:rPr>
      </w:pPr>
      <w:r w:rsidRPr="004B5256">
        <w:rPr>
          <w:rFonts w:ascii="Tahoma" w:eastAsia="Cambria" w:hAnsi="Tahoma" w:cs="Tahoma"/>
          <w:sz w:val="20"/>
          <w:szCs w:val="20"/>
          <w:lang w:eastAsia="pl-PL"/>
        </w:rPr>
        <w:t>Formularz asortymentowo-cenowy</w:t>
      </w:r>
    </w:p>
    <w:p w14:paraId="127F415D" w14:textId="77777777" w:rsidR="004B5256" w:rsidRPr="004B5256" w:rsidRDefault="004B5256" w:rsidP="004B5256">
      <w:pPr>
        <w:numPr>
          <w:ilvl w:val="0"/>
          <w:numId w:val="51"/>
        </w:numPr>
        <w:spacing w:after="0" w:line="240" w:lineRule="auto"/>
        <w:ind w:left="720"/>
        <w:contextualSpacing/>
        <w:rPr>
          <w:rFonts w:ascii="Tahoma" w:eastAsia="Cambria" w:hAnsi="Tahoma" w:cs="Tahoma"/>
          <w:sz w:val="20"/>
          <w:szCs w:val="20"/>
          <w:lang w:eastAsia="pl-PL"/>
        </w:rPr>
      </w:pPr>
      <w:r w:rsidRPr="004B5256">
        <w:rPr>
          <w:rFonts w:ascii="Tahoma" w:eastAsia="Cambria" w:hAnsi="Tahoma" w:cs="Tahoma"/>
          <w:sz w:val="20"/>
          <w:szCs w:val="20"/>
          <w:lang w:eastAsia="pl-PL"/>
        </w:rPr>
        <w:t>Klauzula informacyjna</w:t>
      </w:r>
    </w:p>
    <w:p w14:paraId="36FB43DC" w14:textId="77777777" w:rsidR="004B5256" w:rsidRPr="004B5256" w:rsidRDefault="004B5256" w:rsidP="004B5256">
      <w:pPr>
        <w:keepNext/>
        <w:widowControl w:val="0"/>
        <w:suppressAutoHyphens/>
        <w:spacing w:after="0" w:line="240" w:lineRule="auto"/>
        <w:ind w:left="227"/>
        <w:outlineLvl w:val="5"/>
        <w:rPr>
          <w:rFonts w:ascii="Tahoma" w:eastAsia="Cambria" w:hAnsi="Tahoma" w:cs="Tahoma"/>
          <w:b/>
          <w:bCs/>
          <w:sz w:val="20"/>
          <w:szCs w:val="20"/>
          <w:lang w:eastAsia="ar-SA"/>
        </w:rPr>
      </w:pPr>
    </w:p>
    <w:p w14:paraId="606715CD" w14:textId="77777777" w:rsidR="004B5256" w:rsidRPr="004B5256" w:rsidRDefault="004B5256" w:rsidP="004B5256">
      <w:pPr>
        <w:keepNext/>
        <w:widowControl w:val="0"/>
        <w:suppressAutoHyphens/>
        <w:spacing w:after="0" w:line="240" w:lineRule="auto"/>
        <w:ind w:left="227"/>
        <w:outlineLvl w:val="5"/>
        <w:rPr>
          <w:rFonts w:ascii="Tahoma" w:eastAsia="Cambria" w:hAnsi="Tahoma" w:cs="Tahoma"/>
          <w:b/>
          <w:bCs/>
          <w:sz w:val="20"/>
          <w:szCs w:val="20"/>
          <w:lang w:eastAsia="ar-SA"/>
        </w:rPr>
      </w:pPr>
    </w:p>
    <w:p w14:paraId="6DBC533B" w14:textId="77777777" w:rsidR="004B5256" w:rsidRPr="004B5256" w:rsidRDefault="004B5256" w:rsidP="004B5256">
      <w:pPr>
        <w:keepNext/>
        <w:widowControl w:val="0"/>
        <w:suppressAutoHyphens/>
        <w:spacing w:after="0" w:line="240" w:lineRule="auto"/>
        <w:ind w:left="227"/>
        <w:outlineLvl w:val="5"/>
        <w:rPr>
          <w:rFonts w:ascii="Tahoma" w:eastAsia="Cambria" w:hAnsi="Tahoma" w:cs="Tahoma"/>
          <w:b/>
          <w:bCs/>
          <w:sz w:val="20"/>
          <w:szCs w:val="20"/>
          <w:lang w:eastAsia="ar-SA"/>
        </w:rPr>
      </w:pPr>
    </w:p>
    <w:p w14:paraId="6CD1DEA4" w14:textId="77777777" w:rsidR="004B5256" w:rsidRPr="004B5256" w:rsidRDefault="004B5256" w:rsidP="004B5256">
      <w:pPr>
        <w:keepNext/>
        <w:widowControl w:val="0"/>
        <w:suppressAutoHyphens/>
        <w:spacing w:after="0" w:line="240" w:lineRule="auto"/>
        <w:ind w:left="227"/>
        <w:outlineLvl w:val="5"/>
        <w:rPr>
          <w:rFonts w:ascii="Tahoma" w:eastAsia="Cambria" w:hAnsi="Tahoma" w:cs="Tahoma"/>
          <w:b/>
          <w:bCs/>
          <w:sz w:val="20"/>
          <w:szCs w:val="20"/>
          <w:lang w:eastAsia="ar-SA"/>
        </w:rPr>
      </w:pPr>
    </w:p>
    <w:p w14:paraId="4A571C1C" w14:textId="77777777" w:rsidR="004B5256" w:rsidRPr="004B5256" w:rsidRDefault="004B5256" w:rsidP="004B5256">
      <w:pPr>
        <w:keepNext/>
        <w:widowControl w:val="0"/>
        <w:suppressAutoHyphens/>
        <w:spacing w:after="0" w:line="240" w:lineRule="auto"/>
        <w:ind w:left="227"/>
        <w:outlineLvl w:val="5"/>
        <w:rPr>
          <w:rFonts w:ascii="Tahoma" w:eastAsia="Cambria" w:hAnsi="Tahoma" w:cs="Tahoma"/>
          <w:b/>
          <w:bCs/>
          <w:sz w:val="20"/>
          <w:szCs w:val="20"/>
          <w:lang w:eastAsia="ar-SA"/>
        </w:rPr>
      </w:pPr>
    </w:p>
    <w:p w14:paraId="0ADE329F" w14:textId="77777777" w:rsidR="004B5256" w:rsidRPr="004B5256" w:rsidRDefault="004B5256" w:rsidP="004B5256">
      <w:pPr>
        <w:keepNext/>
        <w:widowControl w:val="0"/>
        <w:suppressAutoHyphens/>
        <w:spacing w:after="0" w:line="240" w:lineRule="auto"/>
        <w:ind w:left="227"/>
        <w:outlineLvl w:val="5"/>
        <w:rPr>
          <w:rFonts w:ascii="Cambria" w:eastAsia="Cambria" w:hAnsi="Cambria" w:cs="Times New Roman"/>
        </w:rPr>
      </w:pPr>
      <w:r w:rsidRPr="004B5256">
        <w:rPr>
          <w:rFonts w:ascii="Tahoma" w:eastAsia="Cambria" w:hAnsi="Tahoma" w:cs="Tahoma"/>
          <w:b/>
          <w:bCs/>
          <w:sz w:val="20"/>
          <w:szCs w:val="20"/>
          <w:lang w:eastAsia="ar-SA"/>
        </w:rPr>
        <w:t>Wykonawca</w:t>
      </w:r>
      <w:r w:rsidRPr="004B5256">
        <w:rPr>
          <w:rFonts w:ascii="Tahoma" w:eastAsia="Cambria" w:hAnsi="Tahoma" w:cs="Tahoma"/>
          <w:b/>
          <w:bCs/>
          <w:sz w:val="20"/>
          <w:szCs w:val="20"/>
          <w:lang w:eastAsia="ar-SA"/>
        </w:rPr>
        <w:tab/>
      </w:r>
      <w:r w:rsidRPr="004B5256">
        <w:rPr>
          <w:rFonts w:ascii="Tahoma" w:eastAsia="Cambria" w:hAnsi="Tahoma" w:cs="Tahoma"/>
          <w:b/>
          <w:bCs/>
          <w:sz w:val="20"/>
          <w:szCs w:val="20"/>
          <w:lang w:eastAsia="ar-SA"/>
        </w:rPr>
        <w:tab/>
      </w:r>
      <w:r w:rsidRPr="004B5256">
        <w:rPr>
          <w:rFonts w:ascii="Tahoma" w:eastAsia="Cambria" w:hAnsi="Tahoma" w:cs="Tahoma"/>
          <w:b/>
          <w:bCs/>
          <w:sz w:val="20"/>
          <w:szCs w:val="20"/>
          <w:lang w:eastAsia="ar-SA"/>
        </w:rPr>
        <w:tab/>
      </w:r>
      <w:r w:rsidRPr="004B5256">
        <w:rPr>
          <w:rFonts w:ascii="Tahoma" w:eastAsia="Cambria" w:hAnsi="Tahoma" w:cs="Tahoma"/>
          <w:b/>
          <w:bCs/>
          <w:sz w:val="20"/>
          <w:szCs w:val="20"/>
          <w:lang w:eastAsia="ar-SA"/>
        </w:rPr>
        <w:tab/>
      </w:r>
      <w:r w:rsidRPr="004B5256">
        <w:rPr>
          <w:rFonts w:ascii="Tahoma" w:eastAsia="Cambria" w:hAnsi="Tahoma" w:cs="Tahoma"/>
          <w:b/>
          <w:bCs/>
          <w:sz w:val="20"/>
          <w:szCs w:val="20"/>
          <w:lang w:eastAsia="ar-SA"/>
        </w:rPr>
        <w:tab/>
      </w:r>
      <w:r w:rsidRPr="004B5256">
        <w:rPr>
          <w:rFonts w:ascii="Tahoma" w:eastAsia="Cambria" w:hAnsi="Tahoma" w:cs="Tahoma"/>
          <w:b/>
          <w:bCs/>
          <w:sz w:val="20"/>
          <w:szCs w:val="20"/>
          <w:lang w:eastAsia="ar-SA"/>
        </w:rPr>
        <w:tab/>
      </w:r>
      <w:r w:rsidRPr="004B5256">
        <w:rPr>
          <w:rFonts w:ascii="Tahoma" w:eastAsia="Cambria" w:hAnsi="Tahoma" w:cs="Tahoma"/>
          <w:b/>
          <w:bCs/>
          <w:sz w:val="20"/>
          <w:szCs w:val="20"/>
          <w:lang w:eastAsia="ar-SA"/>
        </w:rPr>
        <w:tab/>
      </w:r>
      <w:r w:rsidRPr="004B5256">
        <w:rPr>
          <w:rFonts w:ascii="Tahoma" w:eastAsia="Cambria" w:hAnsi="Tahoma" w:cs="Tahoma"/>
          <w:b/>
          <w:bCs/>
          <w:sz w:val="20"/>
          <w:szCs w:val="20"/>
          <w:lang w:eastAsia="ar-SA"/>
        </w:rPr>
        <w:tab/>
        <w:t>Zamawiający</w:t>
      </w:r>
    </w:p>
    <w:p w14:paraId="0948A614" w14:textId="77777777" w:rsidR="004B5256" w:rsidRPr="004B5256" w:rsidRDefault="004B5256" w:rsidP="004B5256">
      <w:pPr>
        <w:rPr>
          <w:rFonts w:ascii="Cambria" w:eastAsia="Cambria" w:hAnsi="Cambria" w:cs="Times New Roman"/>
        </w:rPr>
      </w:pPr>
    </w:p>
    <w:p w14:paraId="4317F61A" w14:textId="77777777" w:rsidR="004B5256" w:rsidRPr="004B5256" w:rsidRDefault="004B5256" w:rsidP="004B5256">
      <w:pPr>
        <w:rPr>
          <w:rFonts w:ascii="Cambria" w:eastAsia="Cambria" w:hAnsi="Cambria" w:cs="Times New Roman"/>
        </w:rPr>
      </w:pPr>
    </w:p>
    <w:p w14:paraId="09491D10" w14:textId="77777777" w:rsidR="004B5256" w:rsidRPr="004B5256" w:rsidRDefault="004B5256" w:rsidP="004B5256">
      <w:pPr>
        <w:rPr>
          <w:rFonts w:ascii="Cambria" w:eastAsia="Cambria" w:hAnsi="Cambria" w:cs="Times New Roman"/>
        </w:rPr>
      </w:pPr>
    </w:p>
    <w:p w14:paraId="54ECAB94" w14:textId="77777777" w:rsidR="004B5256" w:rsidRPr="004B5256" w:rsidRDefault="004B5256" w:rsidP="004B5256">
      <w:pPr>
        <w:rPr>
          <w:rFonts w:ascii="Cambria" w:eastAsia="Cambria" w:hAnsi="Cambria" w:cs="Times New Roman"/>
        </w:rPr>
      </w:pPr>
    </w:p>
    <w:p w14:paraId="167F3285" w14:textId="77777777" w:rsidR="004B5256" w:rsidRPr="004B5256" w:rsidRDefault="004B5256" w:rsidP="004B5256">
      <w:pPr>
        <w:rPr>
          <w:rFonts w:ascii="Cambria" w:eastAsia="Cambria" w:hAnsi="Cambria" w:cs="Times New Roman"/>
        </w:rPr>
      </w:pPr>
    </w:p>
    <w:p w14:paraId="28C1E56B" w14:textId="77777777" w:rsidR="004B5256" w:rsidRPr="004B5256" w:rsidRDefault="004B5256" w:rsidP="004B5256">
      <w:pPr>
        <w:rPr>
          <w:rFonts w:ascii="Cambria" w:eastAsia="Cambria" w:hAnsi="Cambria" w:cs="Times New Roman"/>
        </w:rPr>
      </w:pPr>
    </w:p>
    <w:p w14:paraId="318B1031" w14:textId="77777777" w:rsidR="004B5256" w:rsidRPr="004B5256" w:rsidRDefault="004B5256" w:rsidP="004B5256">
      <w:pPr>
        <w:rPr>
          <w:rFonts w:ascii="Cambria" w:eastAsia="Cambria" w:hAnsi="Cambria" w:cs="Times New Roman"/>
        </w:rPr>
      </w:pPr>
    </w:p>
    <w:p w14:paraId="3EF8E4DE" w14:textId="77777777" w:rsidR="004B5256" w:rsidRPr="004B5256" w:rsidRDefault="004B5256" w:rsidP="004B5256">
      <w:pPr>
        <w:rPr>
          <w:rFonts w:ascii="Cambria" w:eastAsia="Cambria" w:hAnsi="Cambria" w:cs="Times New Roman"/>
        </w:rPr>
      </w:pPr>
    </w:p>
    <w:p w14:paraId="7AF76DA9" w14:textId="77777777" w:rsidR="004B5256" w:rsidRDefault="004B5256" w:rsidP="004B5256">
      <w:pPr>
        <w:spacing w:after="60" w:line="256" w:lineRule="auto"/>
        <w:ind w:left="425" w:hanging="425"/>
        <w:jc w:val="right"/>
        <w:rPr>
          <w:rFonts w:ascii="Tahoma" w:eastAsia="Cambria" w:hAnsi="Tahoma" w:cs="Tahoma"/>
          <w:b/>
          <w:sz w:val="20"/>
          <w:szCs w:val="20"/>
        </w:rPr>
      </w:pPr>
    </w:p>
    <w:p w14:paraId="32061604" w14:textId="2DC50902" w:rsidR="004B5256" w:rsidRPr="004B5256" w:rsidRDefault="004B5256" w:rsidP="004B5256">
      <w:pPr>
        <w:spacing w:after="60" w:line="256" w:lineRule="auto"/>
        <w:ind w:left="425" w:hanging="425"/>
        <w:jc w:val="right"/>
        <w:rPr>
          <w:rFonts w:ascii="Tahoma" w:eastAsia="Cambria" w:hAnsi="Tahoma" w:cs="Tahoma"/>
          <w:b/>
          <w:sz w:val="20"/>
          <w:szCs w:val="20"/>
        </w:rPr>
      </w:pPr>
      <w:r w:rsidRPr="004B5256">
        <w:rPr>
          <w:rFonts w:ascii="Tahoma" w:eastAsia="Cambria" w:hAnsi="Tahoma" w:cs="Tahoma"/>
          <w:b/>
          <w:sz w:val="20"/>
          <w:szCs w:val="20"/>
        </w:rPr>
        <w:t>Załącznik nr 2 – klauzula informacyjna</w:t>
      </w:r>
    </w:p>
    <w:p w14:paraId="2E8773C4" w14:textId="77777777" w:rsidR="004B5256" w:rsidRPr="004B5256" w:rsidRDefault="004B5256" w:rsidP="004B5256">
      <w:pPr>
        <w:numPr>
          <w:ilvl w:val="0"/>
          <w:numId w:val="94"/>
        </w:numPr>
        <w:suppressAutoHyphens/>
        <w:spacing w:after="60" w:line="240" w:lineRule="auto"/>
        <w:ind w:left="425" w:hanging="425"/>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 xml:space="preserve">Dane osobowe przedstawicieli Stron niniejszej umowy oraz dane </w:t>
      </w:r>
      <w:r w:rsidRPr="004B5256">
        <w:rPr>
          <w:rFonts w:ascii="Tahoma" w:eastAsia="Arial Unicode MS" w:hAnsi="Tahoma" w:cs="Tahoma"/>
          <w:color w:val="000000"/>
          <w:sz w:val="20"/>
          <w:szCs w:val="20"/>
          <w:lang w:val="x-none" w:eastAsia="pl-PL"/>
        </w:rPr>
        <w:t>osób wyznaczonych do kontaktów roboczych oraz odpowiedzialnych za koordynację i realizację umowy</w:t>
      </w:r>
      <w:r w:rsidRPr="004B5256">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4B5256">
        <w:rPr>
          <w:rFonts w:ascii="Tahoma" w:eastAsia="Cambria" w:hAnsi="Tahoma" w:cs="Tahoma"/>
          <w:sz w:val="20"/>
          <w:szCs w:val="20"/>
        </w:rPr>
        <w:t xml:space="preserve"> </w:t>
      </w:r>
      <w:r w:rsidRPr="004B5256">
        <w:rPr>
          <w:rFonts w:ascii="Tahoma" w:eastAsia="Cambria" w:hAnsi="Tahoma" w:cs="Tahoma"/>
          <w:sz w:val="20"/>
          <w:szCs w:val="20"/>
          <w:lang w:val="x-none"/>
        </w:rPr>
        <w:t>z realizacją niniejszej umowy.</w:t>
      </w:r>
    </w:p>
    <w:p w14:paraId="1D70F7A7" w14:textId="77777777" w:rsidR="004B5256" w:rsidRPr="004B5256" w:rsidRDefault="004B5256" w:rsidP="004B5256">
      <w:pPr>
        <w:numPr>
          <w:ilvl w:val="0"/>
          <w:numId w:val="94"/>
        </w:numPr>
        <w:suppressAutoHyphens/>
        <w:spacing w:after="60" w:line="240" w:lineRule="auto"/>
        <w:ind w:left="425" w:hanging="425"/>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1D98628" w14:textId="77777777" w:rsidR="004B5256" w:rsidRPr="004B5256" w:rsidRDefault="004B5256" w:rsidP="004B5256">
      <w:pPr>
        <w:numPr>
          <w:ilvl w:val="0"/>
          <w:numId w:val="94"/>
        </w:numPr>
        <w:suppressAutoHyphens/>
        <w:spacing w:after="60" w:line="240" w:lineRule="auto"/>
        <w:ind w:left="425" w:hanging="425"/>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 xml:space="preserve">Zgodnie z treścią art. 13 </w:t>
      </w:r>
      <w:r w:rsidRPr="004B5256">
        <w:rPr>
          <w:rFonts w:ascii="Tahoma" w:eastAsia="Cambria" w:hAnsi="Tahoma" w:cs="Tahoma"/>
          <w:sz w:val="20"/>
          <w:szCs w:val="20"/>
        </w:rPr>
        <w:t xml:space="preserve">i </w:t>
      </w:r>
      <w:r w:rsidRPr="004B5256">
        <w:rPr>
          <w:rFonts w:ascii="Tahoma" w:eastAsia="Cambria" w:hAnsi="Tahoma" w:cs="Tahoma"/>
          <w:sz w:val="20"/>
          <w:szCs w:val="20"/>
          <w:lang w:val="x-none"/>
        </w:rPr>
        <w:t xml:space="preserve">art. 14 </w:t>
      </w:r>
      <w:r w:rsidRPr="004B5256">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B5256">
        <w:rPr>
          <w:rFonts w:ascii="Tahoma" w:eastAsia="Cambria" w:hAnsi="Tahoma" w:cs="Tahoma"/>
          <w:sz w:val="20"/>
          <w:szCs w:val="20"/>
          <w:lang w:val="x-none"/>
        </w:rPr>
        <w:t>, ze zm.</w:t>
      </w:r>
      <w:r w:rsidRPr="004B5256">
        <w:rPr>
          <w:rFonts w:ascii="Tahoma" w:eastAsia="Cambria" w:hAnsi="Tahoma" w:cs="Tahoma"/>
          <w:color w:val="000000"/>
          <w:sz w:val="20"/>
          <w:szCs w:val="20"/>
          <w:lang w:val="x-none"/>
        </w:rPr>
        <w:t>),</w:t>
      </w:r>
      <w:r w:rsidRPr="004B5256">
        <w:rPr>
          <w:rFonts w:ascii="Tahoma" w:eastAsia="Cambria" w:hAnsi="Tahoma" w:cs="Tahoma"/>
          <w:color w:val="000000"/>
          <w:sz w:val="20"/>
          <w:szCs w:val="20"/>
        </w:rPr>
        <w:br/>
        <w:t xml:space="preserve">tzw. ,,RODO” </w:t>
      </w:r>
      <w:r w:rsidRPr="004B5256">
        <w:rPr>
          <w:rFonts w:ascii="Tahoma" w:eastAsia="Cambria" w:hAnsi="Tahoma" w:cs="Tahoma"/>
          <w:sz w:val="20"/>
          <w:szCs w:val="20"/>
        </w:rPr>
        <w:t>Zamawiający jako jeden z administratorów</w:t>
      </w:r>
      <w:r w:rsidRPr="004B5256">
        <w:rPr>
          <w:rFonts w:ascii="Tahoma" w:eastAsia="Cambria" w:hAnsi="Tahoma" w:cs="Tahoma"/>
          <w:sz w:val="20"/>
          <w:szCs w:val="20"/>
          <w:lang w:val="x-none"/>
        </w:rPr>
        <w:t>,</w:t>
      </w:r>
      <w:r w:rsidRPr="004B5256">
        <w:rPr>
          <w:rFonts w:ascii="Tahoma" w:eastAsia="Cambria" w:hAnsi="Tahoma" w:cs="Tahoma"/>
          <w:sz w:val="20"/>
          <w:szCs w:val="20"/>
        </w:rPr>
        <w:t xml:space="preserve"> o których mowa w ust. 1 informuje, </w:t>
      </w:r>
      <w:r w:rsidRPr="004B5256">
        <w:rPr>
          <w:rFonts w:ascii="Tahoma" w:eastAsia="Cambria" w:hAnsi="Tahoma" w:cs="Tahoma"/>
          <w:sz w:val="20"/>
          <w:szCs w:val="20"/>
          <w:lang w:val="x-none"/>
        </w:rPr>
        <w:t>że:</w:t>
      </w:r>
    </w:p>
    <w:p w14:paraId="60FC60C1"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4D18BD1B"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 xml:space="preserve">Z Administratorem można skontaktować się pisząc na adres: ul. Ceglana 35, 40-514 Katowice lub telefonując pod numer: 32 3581 </w:t>
      </w:r>
      <w:r w:rsidRPr="004B5256">
        <w:rPr>
          <w:rFonts w:ascii="Tahoma" w:eastAsia="Cambria" w:hAnsi="Tahoma" w:cs="Tahoma"/>
          <w:sz w:val="20"/>
          <w:szCs w:val="20"/>
        </w:rPr>
        <w:t>460 lub za pośrednictwem poczty elektronicznej: sekretariat@uck.katowice.pl</w:t>
      </w:r>
      <w:r w:rsidRPr="004B5256">
        <w:rPr>
          <w:rFonts w:ascii="Tahoma" w:eastAsia="Cambria" w:hAnsi="Tahoma" w:cs="Tahoma"/>
          <w:sz w:val="20"/>
          <w:szCs w:val="20"/>
          <w:lang w:val="x-none"/>
        </w:rPr>
        <w:t>.</w:t>
      </w:r>
    </w:p>
    <w:p w14:paraId="491B8B5A"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40BDCDAB"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4B5256">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4B5256">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C87E805" w14:textId="77777777" w:rsidR="004B5256" w:rsidRPr="004B5256" w:rsidRDefault="004B5256" w:rsidP="004B5256">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4B5256">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4B5256">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14DCEBEC"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4B5256">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4B5256">
        <w:rPr>
          <w:rFonts w:ascii="Tahoma" w:eastAsia="Cambria" w:hAnsi="Tahoma" w:cs="Tahoma"/>
          <w:sz w:val="20"/>
          <w:szCs w:val="20"/>
          <w:lang w:val="x-none"/>
        </w:rPr>
        <w:t>oznaczenie Strony umowy, dane kontaktowe, a także mogą obejmować inne dane niezbędne do jej realizacji ujawnione w toku jej realizacji.</w:t>
      </w:r>
    </w:p>
    <w:p w14:paraId="7A5389FB"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4B5256">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4B5256">
        <w:rPr>
          <w:rFonts w:ascii="Tahoma" w:eastAsia="Cambria" w:hAnsi="Tahoma" w:cs="Tahoma"/>
          <w:sz w:val="20"/>
          <w:szCs w:val="20"/>
        </w:rPr>
        <w:t xml:space="preserve"> </w:t>
      </w:r>
      <w:r w:rsidRPr="004B5256">
        <w:rPr>
          <w:rFonts w:ascii="Tahoma" w:eastAsia="Cambria" w:hAnsi="Tahoma" w:cs="Tahoma"/>
          <w:sz w:val="20"/>
          <w:szCs w:val="20"/>
          <w:lang w:val="x-none"/>
        </w:rPr>
        <w:t>W zakresie stanowiącym informację publiczną dane mogą być ujawniane każdemu zainteresowanemu taką informacją.</w:t>
      </w:r>
    </w:p>
    <w:p w14:paraId="71E16CCC"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4B5256">
        <w:rPr>
          <w:rFonts w:ascii="Tahoma" w:eastAsia="Cambria" w:hAnsi="Tahoma" w:cs="Tahoma"/>
          <w:sz w:val="20"/>
          <w:szCs w:val="20"/>
          <w:lang w:val="x-none"/>
        </w:rPr>
        <w:t>Dane osobowe będą przetwarzane przez okres realizacji umowy, a po jej rozwiązaniu lub wygaśnięciu</w:t>
      </w:r>
      <w:r w:rsidRPr="004B5256">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7017CFCF" w14:textId="77777777" w:rsidR="004B5256" w:rsidRPr="004B5256" w:rsidRDefault="004B5256" w:rsidP="004B5256">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4B5256">
        <w:rPr>
          <w:rFonts w:ascii="Tahoma" w:eastAsia="Arial Unicode MS" w:hAnsi="Tahoma" w:cs="Tahoma"/>
          <w:color w:val="000000"/>
          <w:sz w:val="20"/>
          <w:szCs w:val="20"/>
          <w:lang w:val="x-none" w:eastAsia="pl-PL"/>
        </w:rPr>
        <w:t xml:space="preserve">Dane osobowe będą przechowywane przez okres co najmniej 5 lat od momentu zakończenia </w:t>
      </w:r>
      <w:r w:rsidRPr="004B5256">
        <w:rPr>
          <w:rFonts w:ascii="Tahoma" w:eastAsia="Arial Unicode MS" w:hAnsi="Tahoma" w:cs="Tahoma"/>
          <w:color w:val="000000"/>
          <w:sz w:val="20"/>
          <w:szCs w:val="20"/>
          <w:lang w:eastAsia="pl-PL"/>
        </w:rPr>
        <w:t>umowy</w:t>
      </w:r>
      <w:r w:rsidRPr="004B5256">
        <w:rPr>
          <w:rFonts w:ascii="Tahoma" w:eastAsia="Arial Unicode MS" w:hAnsi="Tahoma" w:cs="Tahoma"/>
          <w:color w:val="000000"/>
          <w:sz w:val="20"/>
          <w:szCs w:val="20"/>
          <w:lang w:val="x-none" w:eastAsia="pl-PL"/>
        </w:rPr>
        <w:t xml:space="preserve">. </w:t>
      </w:r>
      <w:r w:rsidRPr="004B5256">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4B5256">
        <w:rPr>
          <w:rFonts w:ascii="Tahoma" w:eastAsia="Cambria" w:hAnsi="Tahoma" w:cs="Tahoma"/>
          <w:color w:val="000000"/>
          <w:sz w:val="20"/>
          <w:szCs w:val="20"/>
          <w:lang w:eastAsia="pl-PL"/>
        </w:rPr>
        <w:t>m</w:t>
      </w:r>
      <w:r w:rsidRPr="004B5256">
        <w:rPr>
          <w:rFonts w:ascii="Tahoma" w:eastAsia="Cambria" w:hAnsi="Tahoma" w:cs="Tahoma"/>
          <w:color w:val="000000"/>
          <w:sz w:val="20"/>
          <w:szCs w:val="20"/>
          <w:lang w:val="x-none" w:eastAsia="pl-PL"/>
        </w:rPr>
        <w:t>.</w:t>
      </w:r>
    </w:p>
    <w:p w14:paraId="5C8C2239" w14:textId="77777777" w:rsidR="004B5256" w:rsidRPr="004B5256" w:rsidRDefault="004B5256" w:rsidP="004B5256">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4B5256">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0709BF73"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4B5256">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4B5256">
        <w:rPr>
          <w:rFonts w:ascii="Tahoma" w:eastAsia="Arial Unicode MS" w:hAnsi="Tahoma" w:cs="Tahoma"/>
          <w:sz w:val="20"/>
          <w:szCs w:val="20"/>
          <w:lang w:eastAsia="pl-PL"/>
        </w:rPr>
        <w:t xml:space="preserve"> Uprawnienia te mogą podlegać ograniczeniom na mocy prawa.</w:t>
      </w:r>
    </w:p>
    <w:p w14:paraId="1C0250FB" w14:textId="77777777" w:rsidR="004B5256" w:rsidRPr="004B5256" w:rsidRDefault="004B5256" w:rsidP="004B5256">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4B5256">
        <w:rPr>
          <w:rFonts w:ascii="Tahoma" w:eastAsia="Arial Unicode MS" w:hAnsi="Tahoma" w:cs="Tahoma"/>
          <w:color w:val="000000"/>
          <w:sz w:val="20"/>
          <w:szCs w:val="20"/>
          <w:lang w:val="x-none" w:eastAsia="pl-PL"/>
        </w:rPr>
        <w:t xml:space="preserve">Podanie </w:t>
      </w:r>
      <w:r w:rsidRPr="004B5256">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5B3316C4" w14:textId="2F6092AC" w:rsidR="004B5256" w:rsidRPr="004B5256" w:rsidRDefault="004B5256" w:rsidP="006A5D83">
      <w:pPr>
        <w:keepNext/>
        <w:widowControl w:val="0"/>
        <w:numPr>
          <w:ilvl w:val="0"/>
          <w:numId w:val="59"/>
        </w:numPr>
        <w:suppressAutoHyphens/>
        <w:autoSpaceDE w:val="0"/>
        <w:spacing w:after="0" w:line="240" w:lineRule="auto"/>
        <w:ind w:left="851"/>
        <w:contextualSpacing/>
        <w:jc w:val="both"/>
        <w:outlineLvl w:val="1"/>
        <w:rPr>
          <w:rFonts w:ascii="Tahoma" w:eastAsia="Times New Roman" w:hAnsi="Tahoma" w:cs="Tahoma"/>
          <w:b/>
          <w:bCs/>
          <w:kern w:val="1"/>
          <w:sz w:val="20"/>
          <w:szCs w:val="20"/>
          <w:lang w:eastAsia="ar-SA"/>
        </w:rPr>
      </w:pPr>
      <w:r w:rsidRPr="004B5256">
        <w:rPr>
          <w:rFonts w:ascii="Tahoma" w:eastAsia="Arial Unicode MS" w:hAnsi="Tahoma" w:cs="Tahoma"/>
          <w:sz w:val="20"/>
          <w:szCs w:val="20"/>
          <w:lang w:val="x-none" w:eastAsia="pl-PL"/>
        </w:rPr>
        <w:t>Dane osobowe nie będą wykorzystywane do zautomatyzowanego podejmowania decyzji ani profilowania, o którym</w:t>
      </w:r>
      <w:r w:rsidRPr="004B5256">
        <w:rPr>
          <w:rFonts w:ascii="Tahoma" w:eastAsia="Arial Unicode MS" w:hAnsi="Tahoma" w:cs="Tahoma"/>
          <w:color w:val="000000"/>
          <w:sz w:val="20"/>
          <w:szCs w:val="20"/>
          <w:lang w:val="x-none" w:eastAsia="pl-PL"/>
        </w:rPr>
        <w:t xml:space="preserve"> mowa w art. 22 rozporządzenia.</w:t>
      </w:r>
    </w:p>
    <w:p w14:paraId="582A31BB" w14:textId="77777777" w:rsidR="00DB78DB" w:rsidRPr="00725432" w:rsidRDefault="00DB78DB" w:rsidP="00787D5C">
      <w:pPr>
        <w:tabs>
          <w:tab w:val="left" w:pos="7920"/>
        </w:tabs>
        <w:spacing w:after="0" w:line="240" w:lineRule="auto"/>
      </w:pPr>
    </w:p>
    <w:sectPr w:rsidR="00DB78DB" w:rsidRPr="00725432" w:rsidSect="007C51B1">
      <w:pgSz w:w="11906" w:h="16838"/>
      <w:pgMar w:top="284" w:right="1304" w:bottom="73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6A1A" w14:textId="77777777" w:rsidR="005037B5" w:rsidRDefault="005037B5" w:rsidP="00CC5192">
      <w:pPr>
        <w:spacing w:after="0" w:line="240" w:lineRule="auto"/>
      </w:pPr>
      <w:r>
        <w:separator/>
      </w:r>
    </w:p>
  </w:endnote>
  <w:endnote w:type="continuationSeparator" w:id="0">
    <w:p w14:paraId="275DCD16" w14:textId="77777777" w:rsidR="005037B5" w:rsidRDefault="005037B5"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E34A" w14:textId="77777777" w:rsidR="005037B5" w:rsidRDefault="005037B5" w:rsidP="00CC5192">
      <w:pPr>
        <w:spacing w:after="0" w:line="240" w:lineRule="auto"/>
      </w:pPr>
      <w:r>
        <w:separator/>
      </w:r>
    </w:p>
  </w:footnote>
  <w:footnote w:type="continuationSeparator" w:id="0">
    <w:p w14:paraId="1BC80BAA" w14:textId="77777777" w:rsidR="005037B5" w:rsidRDefault="005037B5"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C7762"/>
    <w:multiLevelType w:val="hybridMultilevel"/>
    <w:tmpl w:val="BE88FBCE"/>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CAA0F20"/>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E755375"/>
    <w:multiLevelType w:val="hybridMultilevel"/>
    <w:tmpl w:val="016CE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2315C3"/>
    <w:multiLevelType w:val="hybridMultilevel"/>
    <w:tmpl w:val="214E142A"/>
    <w:lvl w:ilvl="0" w:tplc="DD548872">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19A33671"/>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0603E1"/>
    <w:multiLevelType w:val="hybridMultilevel"/>
    <w:tmpl w:val="FE1E7A58"/>
    <w:lvl w:ilvl="0" w:tplc="FB8AA2D2">
      <w:start w:val="1"/>
      <w:numFmt w:val="decimal"/>
      <w:lvlText w:val="%1."/>
      <w:lvlJc w:val="left"/>
      <w:pPr>
        <w:ind w:left="360" w:hanging="360"/>
      </w:pPr>
      <w:rPr>
        <w:rFonts w:ascii="Tahoma" w:hAnsi="Tahoma" w:cs="Tahoma" w:hint="default"/>
        <w:b w:val="0"/>
        <w:bCs w:val="0"/>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F428AA"/>
    <w:multiLevelType w:val="hybridMultilevel"/>
    <w:tmpl w:val="1A268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4A61EE8"/>
    <w:multiLevelType w:val="hybridMultilevel"/>
    <w:tmpl w:val="9592A99C"/>
    <w:lvl w:ilvl="0" w:tplc="6CA8FD2E">
      <w:start w:val="1"/>
      <w:numFmt w:val="lowerLetter"/>
      <w:lvlText w:val="%1)"/>
      <w:lvlJc w:val="left"/>
      <w:pPr>
        <w:ind w:left="144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6"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CDA5E24"/>
    <w:multiLevelType w:val="hybridMultilevel"/>
    <w:tmpl w:val="CE226652"/>
    <w:lvl w:ilvl="0" w:tplc="E216EDD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37D0DFD"/>
    <w:multiLevelType w:val="hybridMultilevel"/>
    <w:tmpl w:val="AD3EA38A"/>
    <w:lvl w:ilvl="0" w:tplc="C8E6AE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A657652"/>
    <w:multiLevelType w:val="hybridMultilevel"/>
    <w:tmpl w:val="31C0EE78"/>
    <w:lvl w:ilvl="0" w:tplc="04150017">
      <w:start w:val="1"/>
      <w:numFmt w:val="lowerLetter"/>
      <w:lvlText w:val="%1)"/>
      <w:lvlJc w:val="left"/>
      <w:pPr>
        <w:ind w:left="1060" w:hanging="360"/>
      </w:pPr>
    </w:lvl>
    <w:lvl w:ilvl="1" w:tplc="6CA8FD2E">
      <w:start w:val="1"/>
      <w:numFmt w:val="lowerLetter"/>
      <w:lvlText w:val="%2)"/>
      <w:lvlJc w:val="left"/>
      <w:pPr>
        <w:ind w:left="70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3D9F2ACB"/>
    <w:multiLevelType w:val="hybridMultilevel"/>
    <w:tmpl w:val="57D87146"/>
    <w:lvl w:ilvl="0" w:tplc="749CF9F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437B99"/>
    <w:multiLevelType w:val="hybridMultilevel"/>
    <w:tmpl w:val="B62C5F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684FF1"/>
    <w:multiLevelType w:val="hybridMultilevel"/>
    <w:tmpl w:val="19EE018E"/>
    <w:lvl w:ilvl="0" w:tplc="DAB4D88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4243EA"/>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4C603BE6"/>
    <w:multiLevelType w:val="hybridMultilevel"/>
    <w:tmpl w:val="47D8963C"/>
    <w:lvl w:ilvl="0" w:tplc="6CA8FD2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6F67258"/>
    <w:multiLevelType w:val="hybridMultilevel"/>
    <w:tmpl w:val="386E43AA"/>
    <w:lvl w:ilvl="0" w:tplc="5894A940">
      <w:start w:val="12"/>
      <w:numFmt w:val="decimal"/>
      <w:lvlText w:val="%1."/>
      <w:lvlJc w:val="left"/>
      <w:pPr>
        <w:tabs>
          <w:tab w:val="num" w:pos="720"/>
        </w:tabs>
        <w:ind w:left="720" w:hanging="360"/>
      </w:pPr>
      <w:rPr>
        <w:rFonts w:ascii="Tahoma" w:hAnsi="Tahoma"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132E0E"/>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0835043"/>
    <w:multiLevelType w:val="hybridMultilevel"/>
    <w:tmpl w:val="C6D223BC"/>
    <w:lvl w:ilvl="0" w:tplc="57CEEFA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0AC6154"/>
    <w:multiLevelType w:val="hybridMultilevel"/>
    <w:tmpl w:val="45A42AE6"/>
    <w:lvl w:ilvl="0" w:tplc="01A80604">
      <w:start w:val="1"/>
      <w:numFmt w:val="decimal"/>
      <w:lvlText w:val="%1."/>
      <w:lvlJc w:val="left"/>
      <w:pPr>
        <w:tabs>
          <w:tab w:val="num" w:pos="720"/>
        </w:tabs>
        <w:ind w:left="720" w:hanging="360"/>
      </w:pPr>
      <w:rPr>
        <w:rFonts w:ascii="Tahoma" w:hAnsi="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3B3575"/>
    <w:multiLevelType w:val="hybridMultilevel"/>
    <w:tmpl w:val="3D2AD414"/>
    <w:lvl w:ilvl="0" w:tplc="2498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4A6ADF"/>
    <w:multiLevelType w:val="hybridMultilevel"/>
    <w:tmpl w:val="82AA24FC"/>
    <w:lvl w:ilvl="0" w:tplc="EE2487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D6F7F0B"/>
    <w:multiLevelType w:val="hybridMultilevel"/>
    <w:tmpl w:val="4BCAD284"/>
    <w:lvl w:ilvl="0" w:tplc="37C83D30">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22E23C6"/>
    <w:multiLevelType w:val="hybridMultilevel"/>
    <w:tmpl w:val="DADE0984"/>
    <w:lvl w:ilvl="0" w:tplc="59FA622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4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96"/>
  </w:num>
  <w:num w:numId="2" w16cid:durableId="1511676128">
    <w:abstractNumId w:val="53"/>
  </w:num>
  <w:num w:numId="3" w16cid:durableId="130907163">
    <w:abstractNumId w:val="71"/>
  </w:num>
  <w:num w:numId="4" w16cid:durableId="2063676468">
    <w:abstractNumId w:val="123"/>
  </w:num>
  <w:num w:numId="5" w16cid:durableId="1929850885">
    <w:abstractNumId w:val="85"/>
  </w:num>
  <w:num w:numId="6" w16cid:durableId="1650597455">
    <w:abstractNumId w:val="23"/>
  </w:num>
  <w:num w:numId="7" w16cid:durableId="252662815">
    <w:abstractNumId w:val="106"/>
  </w:num>
  <w:num w:numId="8" w16cid:durableId="1639535845">
    <w:abstractNumId w:val="134"/>
  </w:num>
  <w:num w:numId="9" w16cid:durableId="1971476235">
    <w:abstractNumId w:val="22"/>
  </w:num>
  <w:num w:numId="10" w16cid:durableId="90710781">
    <w:abstractNumId w:val="103"/>
  </w:num>
  <w:num w:numId="11" w16cid:durableId="303775554">
    <w:abstractNumId w:val="104"/>
    <w:lvlOverride w:ilvl="0">
      <w:startOverride w:val="1"/>
    </w:lvlOverride>
  </w:num>
  <w:num w:numId="12" w16cid:durableId="1386904146">
    <w:abstractNumId w:val="81"/>
    <w:lvlOverride w:ilvl="0">
      <w:startOverride w:val="1"/>
    </w:lvlOverride>
  </w:num>
  <w:num w:numId="13" w16cid:durableId="2081783253">
    <w:abstractNumId w:val="54"/>
  </w:num>
  <w:num w:numId="14" w16cid:durableId="685206250">
    <w:abstractNumId w:val="15"/>
  </w:num>
  <w:num w:numId="15" w16cid:durableId="872156905">
    <w:abstractNumId w:val="128"/>
  </w:num>
  <w:num w:numId="16" w16cid:durableId="625505804">
    <w:abstractNumId w:val="67"/>
  </w:num>
  <w:num w:numId="17" w16cid:durableId="1600797708">
    <w:abstractNumId w:val="40"/>
  </w:num>
  <w:num w:numId="18" w16cid:durableId="1693533437">
    <w:abstractNumId w:val="137"/>
  </w:num>
  <w:num w:numId="19" w16cid:durableId="869411385">
    <w:abstractNumId w:val="19"/>
  </w:num>
  <w:num w:numId="20" w16cid:durableId="552697173">
    <w:abstractNumId w:val="91"/>
  </w:num>
  <w:num w:numId="21" w16cid:durableId="1378778525">
    <w:abstractNumId w:val="59"/>
  </w:num>
  <w:num w:numId="22" w16cid:durableId="1227958188">
    <w:abstractNumId w:val="58"/>
  </w:num>
  <w:num w:numId="23" w16cid:durableId="897786088">
    <w:abstractNumId w:val="33"/>
  </w:num>
  <w:num w:numId="24" w16cid:durableId="1404524110">
    <w:abstractNumId w:val="138"/>
  </w:num>
  <w:num w:numId="25" w16cid:durableId="237133232">
    <w:abstractNumId w:val="70"/>
  </w:num>
  <w:num w:numId="26" w16cid:durableId="1598322172">
    <w:abstractNumId w:val="110"/>
  </w:num>
  <w:num w:numId="27" w16cid:durableId="74589953">
    <w:abstractNumId w:val="117"/>
  </w:num>
  <w:num w:numId="28" w16cid:durableId="1021056860">
    <w:abstractNumId w:val="18"/>
  </w:num>
  <w:num w:numId="29" w16cid:durableId="1531066708">
    <w:abstractNumId w:val="41"/>
  </w:num>
  <w:num w:numId="30" w16cid:durableId="1320689790">
    <w:abstractNumId w:val="64"/>
  </w:num>
  <w:num w:numId="31" w16cid:durableId="707025211">
    <w:abstractNumId w:val="82"/>
  </w:num>
  <w:num w:numId="32" w16cid:durableId="2014262612">
    <w:abstractNumId w:val="83"/>
  </w:num>
  <w:num w:numId="33" w16cid:durableId="656037512">
    <w:abstractNumId w:val="109"/>
  </w:num>
  <w:num w:numId="34" w16cid:durableId="2053535695">
    <w:abstractNumId w:val="125"/>
  </w:num>
  <w:num w:numId="35" w16cid:durableId="921569209">
    <w:abstractNumId w:val="131"/>
  </w:num>
  <w:num w:numId="36" w16cid:durableId="1159422038">
    <w:abstractNumId w:val="34"/>
  </w:num>
  <w:num w:numId="37" w16cid:durableId="1525049807">
    <w:abstractNumId w:val="60"/>
  </w:num>
  <w:num w:numId="38" w16cid:durableId="1746760207">
    <w:abstractNumId w:val="130"/>
  </w:num>
  <w:num w:numId="39" w16cid:durableId="1234196886">
    <w:abstractNumId w:val="31"/>
  </w:num>
  <w:num w:numId="40" w16cid:durableId="1480264832">
    <w:abstractNumId w:val="38"/>
  </w:num>
  <w:num w:numId="41" w16cid:durableId="2045935604">
    <w:abstractNumId w:val="140"/>
  </w:num>
  <w:num w:numId="42" w16cid:durableId="1735002842">
    <w:abstractNumId w:val="45"/>
  </w:num>
  <w:num w:numId="43" w16cid:durableId="613366683">
    <w:abstractNumId w:val="8"/>
  </w:num>
  <w:num w:numId="44" w16cid:durableId="1672177680">
    <w:abstractNumId w:val="87"/>
  </w:num>
  <w:num w:numId="45" w16cid:durableId="1999071552">
    <w:abstractNumId w:val="95"/>
  </w:num>
  <w:num w:numId="46" w16cid:durableId="1244609396">
    <w:abstractNumId w:val="122"/>
  </w:num>
  <w:num w:numId="47" w16cid:durableId="88552343">
    <w:abstractNumId w:val="113"/>
  </w:num>
  <w:num w:numId="48" w16cid:durableId="165874689">
    <w:abstractNumId w:val="121"/>
  </w:num>
  <w:num w:numId="49" w16cid:durableId="840126189">
    <w:abstractNumId w:val="6"/>
  </w:num>
  <w:num w:numId="50" w16cid:durableId="2040429456">
    <w:abstractNumId w:val="10"/>
  </w:num>
  <w:num w:numId="51" w16cid:durableId="1273130020">
    <w:abstractNumId w:val="30"/>
  </w:num>
  <w:num w:numId="52" w16cid:durableId="431630726">
    <w:abstractNumId w:val="27"/>
  </w:num>
  <w:num w:numId="53" w16cid:durableId="751700426">
    <w:abstractNumId w:val="35"/>
  </w:num>
  <w:num w:numId="54" w16cid:durableId="228274675">
    <w:abstractNumId w:val="136"/>
  </w:num>
  <w:num w:numId="55" w16cid:durableId="817914766">
    <w:abstractNumId w:val="57"/>
  </w:num>
  <w:num w:numId="56" w16cid:durableId="1729305700">
    <w:abstractNumId w:val="69"/>
  </w:num>
  <w:num w:numId="57" w16cid:durableId="1111390690">
    <w:abstractNumId w:val="74"/>
  </w:num>
  <w:num w:numId="58" w16cid:durableId="637994810">
    <w:abstractNumId w:val="17"/>
  </w:num>
  <w:num w:numId="59" w16cid:durableId="21450019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249766">
    <w:abstractNumId w:val="11"/>
  </w:num>
  <w:num w:numId="61" w16cid:durableId="910193829">
    <w:abstractNumId w:val="7"/>
  </w:num>
  <w:num w:numId="62" w16cid:durableId="933897975">
    <w:abstractNumId w:val="107"/>
  </w:num>
  <w:num w:numId="63" w16cid:durableId="76026569">
    <w:abstractNumId w:val="101"/>
  </w:num>
  <w:num w:numId="64" w16cid:durableId="1529677162">
    <w:abstractNumId w:val="139"/>
  </w:num>
  <w:num w:numId="65" w16cid:durableId="1382635595">
    <w:abstractNumId w:val="21"/>
  </w:num>
  <w:num w:numId="66" w16cid:durableId="2125229816">
    <w:abstractNumId w:val="32"/>
  </w:num>
  <w:num w:numId="67" w16cid:durableId="1962413807">
    <w:abstractNumId w:val="116"/>
  </w:num>
  <w:num w:numId="68" w16cid:durableId="516886808">
    <w:abstractNumId w:val="56"/>
  </w:num>
  <w:num w:numId="69" w16cid:durableId="1898734093">
    <w:abstractNumId w:val="119"/>
  </w:num>
  <w:num w:numId="70" w16cid:durableId="1393231788">
    <w:abstractNumId w:val="72"/>
  </w:num>
  <w:num w:numId="71" w16cid:durableId="949431971">
    <w:abstractNumId w:val="112"/>
  </w:num>
  <w:num w:numId="72" w16cid:durableId="1999915766">
    <w:abstractNumId w:val="129"/>
  </w:num>
  <w:num w:numId="73" w16cid:durableId="465971134">
    <w:abstractNumId w:val="100"/>
  </w:num>
  <w:num w:numId="74" w16cid:durableId="1783568049">
    <w:abstractNumId w:val="61"/>
  </w:num>
  <w:num w:numId="75" w16cid:durableId="1398089669">
    <w:abstractNumId w:val="126"/>
  </w:num>
  <w:num w:numId="76" w16cid:durableId="1755786568">
    <w:abstractNumId w:val="120"/>
  </w:num>
  <w:num w:numId="77" w16cid:durableId="1317101659">
    <w:abstractNumId w:val="80"/>
  </w:num>
  <w:num w:numId="78" w16cid:durableId="1853303167">
    <w:abstractNumId w:val="37"/>
  </w:num>
  <w:num w:numId="79" w16cid:durableId="1375083483">
    <w:abstractNumId w:val="88"/>
  </w:num>
  <w:num w:numId="80" w16cid:durableId="1028024822">
    <w:abstractNumId w:val="90"/>
  </w:num>
  <w:num w:numId="81" w16cid:durableId="1790931083">
    <w:abstractNumId w:val="99"/>
  </w:num>
  <w:num w:numId="82" w16cid:durableId="1913617099">
    <w:abstractNumId w:val="9"/>
  </w:num>
  <w:num w:numId="83" w16cid:durableId="1513183093">
    <w:abstractNumId w:val="39"/>
  </w:num>
  <w:num w:numId="84" w16cid:durableId="793640988">
    <w:abstractNumId w:val="89"/>
  </w:num>
  <w:num w:numId="85" w16cid:durableId="1265381316">
    <w:abstractNumId w:val="55"/>
  </w:num>
  <w:num w:numId="86" w16cid:durableId="117267244">
    <w:abstractNumId w:val="111"/>
  </w:num>
  <w:num w:numId="87" w16cid:durableId="1756632538">
    <w:abstractNumId w:val="76"/>
  </w:num>
  <w:num w:numId="88" w16cid:durableId="239675996">
    <w:abstractNumId w:val="102"/>
  </w:num>
  <w:num w:numId="89" w16cid:durableId="2019890500">
    <w:abstractNumId w:val="25"/>
  </w:num>
  <w:num w:numId="90" w16cid:durableId="480466028">
    <w:abstractNumId w:val="28"/>
  </w:num>
  <w:num w:numId="91" w16cid:durableId="1958828176">
    <w:abstractNumId w:val="65"/>
  </w:num>
  <w:num w:numId="92" w16cid:durableId="1783764958">
    <w:abstractNumId w:val="73"/>
  </w:num>
  <w:num w:numId="93" w16cid:durableId="1608149161">
    <w:abstractNumId w:val="43"/>
  </w:num>
  <w:num w:numId="94" w16cid:durableId="663051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79779939">
    <w:abstractNumId w:val="2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2791"/>
    <w:rsid w:val="00093379"/>
    <w:rsid w:val="00094608"/>
    <w:rsid w:val="0009709C"/>
    <w:rsid w:val="000976C1"/>
    <w:rsid w:val="000A0D7C"/>
    <w:rsid w:val="000A229E"/>
    <w:rsid w:val="000A3ACA"/>
    <w:rsid w:val="000A435A"/>
    <w:rsid w:val="000B31A6"/>
    <w:rsid w:val="000C086D"/>
    <w:rsid w:val="000C4080"/>
    <w:rsid w:val="000C438A"/>
    <w:rsid w:val="000C4C79"/>
    <w:rsid w:val="000C4EF6"/>
    <w:rsid w:val="000C5614"/>
    <w:rsid w:val="000C5F8C"/>
    <w:rsid w:val="000C6F3D"/>
    <w:rsid w:val="000D2ED4"/>
    <w:rsid w:val="000E18D6"/>
    <w:rsid w:val="000E2927"/>
    <w:rsid w:val="000E2D81"/>
    <w:rsid w:val="000E7149"/>
    <w:rsid w:val="000F2C34"/>
    <w:rsid w:val="000F31E5"/>
    <w:rsid w:val="000F41DE"/>
    <w:rsid w:val="000F76A8"/>
    <w:rsid w:val="00100381"/>
    <w:rsid w:val="00102C55"/>
    <w:rsid w:val="001039E6"/>
    <w:rsid w:val="001052B4"/>
    <w:rsid w:val="00107BD3"/>
    <w:rsid w:val="001112BA"/>
    <w:rsid w:val="00112E1E"/>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456D"/>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0FA5"/>
    <w:rsid w:val="001D3A2A"/>
    <w:rsid w:val="001D4E60"/>
    <w:rsid w:val="001D55B9"/>
    <w:rsid w:val="001D6082"/>
    <w:rsid w:val="001E2AD4"/>
    <w:rsid w:val="001E3875"/>
    <w:rsid w:val="001E5276"/>
    <w:rsid w:val="001E5DB6"/>
    <w:rsid w:val="001E5EF7"/>
    <w:rsid w:val="001E6BFA"/>
    <w:rsid w:val="001E7493"/>
    <w:rsid w:val="001E782B"/>
    <w:rsid w:val="001F11D4"/>
    <w:rsid w:val="001F5825"/>
    <w:rsid w:val="001F5D35"/>
    <w:rsid w:val="001F62E0"/>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4E04"/>
    <w:rsid w:val="0024607E"/>
    <w:rsid w:val="00250A71"/>
    <w:rsid w:val="002515BB"/>
    <w:rsid w:val="002521B0"/>
    <w:rsid w:val="00252B88"/>
    <w:rsid w:val="00256159"/>
    <w:rsid w:val="00257898"/>
    <w:rsid w:val="002615B4"/>
    <w:rsid w:val="002647E2"/>
    <w:rsid w:val="00264B95"/>
    <w:rsid w:val="00270F10"/>
    <w:rsid w:val="00271F2A"/>
    <w:rsid w:val="002721A8"/>
    <w:rsid w:val="00274CC4"/>
    <w:rsid w:val="0027725D"/>
    <w:rsid w:val="00280C2D"/>
    <w:rsid w:val="00281927"/>
    <w:rsid w:val="002822AB"/>
    <w:rsid w:val="00282665"/>
    <w:rsid w:val="00284DD0"/>
    <w:rsid w:val="002856A5"/>
    <w:rsid w:val="00287B6D"/>
    <w:rsid w:val="0029017C"/>
    <w:rsid w:val="002906EA"/>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37C4"/>
    <w:rsid w:val="002D45D7"/>
    <w:rsid w:val="002D4723"/>
    <w:rsid w:val="002D55CE"/>
    <w:rsid w:val="002D6EAD"/>
    <w:rsid w:val="002E086C"/>
    <w:rsid w:val="002E1D2A"/>
    <w:rsid w:val="002E32EC"/>
    <w:rsid w:val="002E4234"/>
    <w:rsid w:val="002E5FFB"/>
    <w:rsid w:val="002E6835"/>
    <w:rsid w:val="002E7AE1"/>
    <w:rsid w:val="002F095E"/>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6521"/>
    <w:rsid w:val="00390210"/>
    <w:rsid w:val="0039101D"/>
    <w:rsid w:val="00393FC0"/>
    <w:rsid w:val="00393FE8"/>
    <w:rsid w:val="0039412C"/>
    <w:rsid w:val="00396884"/>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7A7"/>
    <w:rsid w:val="003C3301"/>
    <w:rsid w:val="003C3702"/>
    <w:rsid w:val="003C3B4B"/>
    <w:rsid w:val="003C3DBA"/>
    <w:rsid w:val="003C6A89"/>
    <w:rsid w:val="003C7F10"/>
    <w:rsid w:val="003D0D46"/>
    <w:rsid w:val="003D10D7"/>
    <w:rsid w:val="003D2720"/>
    <w:rsid w:val="003D3106"/>
    <w:rsid w:val="003D5AAF"/>
    <w:rsid w:val="003E392C"/>
    <w:rsid w:val="003E42B5"/>
    <w:rsid w:val="003E48E8"/>
    <w:rsid w:val="003E5BCE"/>
    <w:rsid w:val="003F11EC"/>
    <w:rsid w:val="003F4864"/>
    <w:rsid w:val="003F671A"/>
    <w:rsid w:val="00400F14"/>
    <w:rsid w:val="00401018"/>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008"/>
    <w:rsid w:val="0044278D"/>
    <w:rsid w:val="004443B3"/>
    <w:rsid w:val="00444873"/>
    <w:rsid w:val="00444892"/>
    <w:rsid w:val="004455C6"/>
    <w:rsid w:val="004469A9"/>
    <w:rsid w:val="00446B19"/>
    <w:rsid w:val="004479EB"/>
    <w:rsid w:val="00447A29"/>
    <w:rsid w:val="004502BB"/>
    <w:rsid w:val="00452508"/>
    <w:rsid w:val="00453875"/>
    <w:rsid w:val="00454EA6"/>
    <w:rsid w:val="004551CB"/>
    <w:rsid w:val="00455674"/>
    <w:rsid w:val="004558AD"/>
    <w:rsid w:val="00455E88"/>
    <w:rsid w:val="00456EA8"/>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5256"/>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22DE"/>
    <w:rsid w:val="004E3DF4"/>
    <w:rsid w:val="004E4E49"/>
    <w:rsid w:val="004F0B54"/>
    <w:rsid w:val="004F0C1D"/>
    <w:rsid w:val="004F17FB"/>
    <w:rsid w:val="004F25C5"/>
    <w:rsid w:val="004F2761"/>
    <w:rsid w:val="004F2CCD"/>
    <w:rsid w:val="004F4507"/>
    <w:rsid w:val="004F49E7"/>
    <w:rsid w:val="004F7924"/>
    <w:rsid w:val="00501111"/>
    <w:rsid w:val="005037B5"/>
    <w:rsid w:val="005103ED"/>
    <w:rsid w:val="00511B98"/>
    <w:rsid w:val="00515658"/>
    <w:rsid w:val="00517AE4"/>
    <w:rsid w:val="00520F26"/>
    <w:rsid w:val="0052291A"/>
    <w:rsid w:val="00522E5F"/>
    <w:rsid w:val="0052419D"/>
    <w:rsid w:val="005243E2"/>
    <w:rsid w:val="00525C1E"/>
    <w:rsid w:val="00525D35"/>
    <w:rsid w:val="00527B4D"/>
    <w:rsid w:val="005319E9"/>
    <w:rsid w:val="00531FAF"/>
    <w:rsid w:val="005325CF"/>
    <w:rsid w:val="00532B57"/>
    <w:rsid w:val="00532DFA"/>
    <w:rsid w:val="00533493"/>
    <w:rsid w:val="00533688"/>
    <w:rsid w:val="00533F8E"/>
    <w:rsid w:val="00534FF5"/>
    <w:rsid w:val="00536371"/>
    <w:rsid w:val="00541529"/>
    <w:rsid w:val="0054517C"/>
    <w:rsid w:val="005461D2"/>
    <w:rsid w:val="0054697A"/>
    <w:rsid w:val="005519A0"/>
    <w:rsid w:val="005521A9"/>
    <w:rsid w:val="00553D9B"/>
    <w:rsid w:val="00555D5C"/>
    <w:rsid w:val="0056595F"/>
    <w:rsid w:val="00566D4B"/>
    <w:rsid w:val="00567F32"/>
    <w:rsid w:val="00570540"/>
    <w:rsid w:val="00574D10"/>
    <w:rsid w:val="00577A98"/>
    <w:rsid w:val="00583852"/>
    <w:rsid w:val="00584344"/>
    <w:rsid w:val="00584360"/>
    <w:rsid w:val="00584563"/>
    <w:rsid w:val="005874B7"/>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283B"/>
    <w:rsid w:val="00623AA2"/>
    <w:rsid w:val="00624A86"/>
    <w:rsid w:val="00624F68"/>
    <w:rsid w:val="00625991"/>
    <w:rsid w:val="00626869"/>
    <w:rsid w:val="00627F26"/>
    <w:rsid w:val="006331D9"/>
    <w:rsid w:val="006347A0"/>
    <w:rsid w:val="0063671B"/>
    <w:rsid w:val="00637645"/>
    <w:rsid w:val="006404A8"/>
    <w:rsid w:val="0064189A"/>
    <w:rsid w:val="00642CD3"/>
    <w:rsid w:val="006456B1"/>
    <w:rsid w:val="00650E36"/>
    <w:rsid w:val="006529A9"/>
    <w:rsid w:val="00653CC1"/>
    <w:rsid w:val="006543A0"/>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33AB"/>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6F4AFA"/>
    <w:rsid w:val="00700265"/>
    <w:rsid w:val="00700B11"/>
    <w:rsid w:val="00703516"/>
    <w:rsid w:val="00704FD3"/>
    <w:rsid w:val="00705F54"/>
    <w:rsid w:val="007106B5"/>
    <w:rsid w:val="00711F8C"/>
    <w:rsid w:val="007128BD"/>
    <w:rsid w:val="00713388"/>
    <w:rsid w:val="007136CC"/>
    <w:rsid w:val="007147D3"/>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3A4D"/>
    <w:rsid w:val="007554D1"/>
    <w:rsid w:val="007556CC"/>
    <w:rsid w:val="00761618"/>
    <w:rsid w:val="00761F31"/>
    <w:rsid w:val="007670FE"/>
    <w:rsid w:val="007742A5"/>
    <w:rsid w:val="007759A6"/>
    <w:rsid w:val="00777D0F"/>
    <w:rsid w:val="00780E96"/>
    <w:rsid w:val="00781628"/>
    <w:rsid w:val="007851D1"/>
    <w:rsid w:val="00787D5C"/>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5A60"/>
    <w:rsid w:val="007C6E33"/>
    <w:rsid w:val="007C7396"/>
    <w:rsid w:val="007D43E7"/>
    <w:rsid w:val="007E139D"/>
    <w:rsid w:val="007E32AA"/>
    <w:rsid w:val="007E32AD"/>
    <w:rsid w:val="007E4490"/>
    <w:rsid w:val="007E660B"/>
    <w:rsid w:val="007E7D31"/>
    <w:rsid w:val="007F0576"/>
    <w:rsid w:val="007F2401"/>
    <w:rsid w:val="007F2F2B"/>
    <w:rsid w:val="007F4B16"/>
    <w:rsid w:val="007F5176"/>
    <w:rsid w:val="007F57F0"/>
    <w:rsid w:val="007F69ED"/>
    <w:rsid w:val="00800F49"/>
    <w:rsid w:val="00802C71"/>
    <w:rsid w:val="00806575"/>
    <w:rsid w:val="008074D4"/>
    <w:rsid w:val="0080753C"/>
    <w:rsid w:val="00810B66"/>
    <w:rsid w:val="00811F20"/>
    <w:rsid w:val="0081206A"/>
    <w:rsid w:val="00812C10"/>
    <w:rsid w:val="008158D4"/>
    <w:rsid w:val="008161BA"/>
    <w:rsid w:val="00817AA1"/>
    <w:rsid w:val="0082135B"/>
    <w:rsid w:val="00825803"/>
    <w:rsid w:val="0082662C"/>
    <w:rsid w:val="008278A7"/>
    <w:rsid w:val="00827DA2"/>
    <w:rsid w:val="008307DB"/>
    <w:rsid w:val="00835DC7"/>
    <w:rsid w:val="00836551"/>
    <w:rsid w:val="00841F70"/>
    <w:rsid w:val="00843036"/>
    <w:rsid w:val="00843826"/>
    <w:rsid w:val="00844689"/>
    <w:rsid w:val="0084549C"/>
    <w:rsid w:val="00845ED2"/>
    <w:rsid w:val="00846E75"/>
    <w:rsid w:val="00847959"/>
    <w:rsid w:val="00850324"/>
    <w:rsid w:val="00850F5B"/>
    <w:rsid w:val="00851E26"/>
    <w:rsid w:val="008535AC"/>
    <w:rsid w:val="00853E60"/>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33ED"/>
    <w:rsid w:val="0089471B"/>
    <w:rsid w:val="008A026A"/>
    <w:rsid w:val="008A233E"/>
    <w:rsid w:val="008A2FFD"/>
    <w:rsid w:val="008B18D0"/>
    <w:rsid w:val="008B2262"/>
    <w:rsid w:val="008B2DB4"/>
    <w:rsid w:val="008B5CDE"/>
    <w:rsid w:val="008B68A3"/>
    <w:rsid w:val="008B6F20"/>
    <w:rsid w:val="008B7413"/>
    <w:rsid w:val="008B7F0B"/>
    <w:rsid w:val="008C414D"/>
    <w:rsid w:val="008C51E6"/>
    <w:rsid w:val="008C5471"/>
    <w:rsid w:val="008C7B6C"/>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6424"/>
    <w:rsid w:val="00916562"/>
    <w:rsid w:val="00922C0C"/>
    <w:rsid w:val="0092449A"/>
    <w:rsid w:val="00925D0E"/>
    <w:rsid w:val="00926C47"/>
    <w:rsid w:val="009276EF"/>
    <w:rsid w:val="00931160"/>
    <w:rsid w:val="00931E9A"/>
    <w:rsid w:val="00934D8A"/>
    <w:rsid w:val="009361AD"/>
    <w:rsid w:val="0093722D"/>
    <w:rsid w:val="00942CF2"/>
    <w:rsid w:val="009430EE"/>
    <w:rsid w:val="009430F1"/>
    <w:rsid w:val="00944C84"/>
    <w:rsid w:val="009465D5"/>
    <w:rsid w:val="00946DA9"/>
    <w:rsid w:val="009516A2"/>
    <w:rsid w:val="00953029"/>
    <w:rsid w:val="009533F0"/>
    <w:rsid w:val="00953E15"/>
    <w:rsid w:val="00954208"/>
    <w:rsid w:val="0095426D"/>
    <w:rsid w:val="0095566A"/>
    <w:rsid w:val="0095607C"/>
    <w:rsid w:val="00957867"/>
    <w:rsid w:val="0096071D"/>
    <w:rsid w:val="0096164E"/>
    <w:rsid w:val="00963DD5"/>
    <w:rsid w:val="00963F8F"/>
    <w:rsid w:val="00964495"/>
    <w:rsid w:val="0096471F"/>
    <w:rsid w:val="009647F8"/>
    <w:rsid w:val="00964E8B"/>
    <w:rsid w:val="00970939"/>
    <w:rsid w:val="00971172"/>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D0D24"/>
    <w:rsid w:val="009D10FA"/>
    <w:rsid w:val="009D13BD"/>
    <w:rsid w:val="009D6080"/>
    <w:rsid w:val="009D77A2"/>
    <w:rsid w:val="009D79E2"/>
    <w:rsid w:val="009E0102"/>
    <w:rsid w:val="009E15B4"/>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37FBD"/>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58BC"/>
    <w:rsid w:val="00A87D15"/>
    <w:rsid w:val="00A9017B"/>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276B"/>
    <w:rsid w:val="00B1492A"/>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67E14"/>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646D"/>
    <w:rsid w:val="00B97BDA"/>
    <w:rsid w:val="00BA0322"/>
    <w:rsid w:val="00BA299D"/>
    <w:rsid w:val="00BA2F32"/>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1F3B"/>
    <w:rsid w:val="00C078A3"/>
    <w:rsid w:val="00C100D3"/>
    <w:rsid w:val="00C10782"/>
    <w:rsid w:val="00C10D26"/>
    <w:rsid w:val="00C13976"/>
    <w:rsid w:val="00C21639"/>
    <w:rsid w:val="00C2480F"/>
    <w:rsid w:val="00C24B7E"/>
    <w:rsid w:val="00C2722D"/>
    <w:rsid w:val="00C27F7E"/>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2BFE"/>
    <w:rsid w:val="00C5322B"/>
    <w:rsid w:val="00C532F9"/>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CF7977"/>
    <w:rsid w:val="00D10DB1"/>
    <w:rsid w:val="00D11224"/>
    <w:rsid w:val="00D12AFF"/>
    <w:rsid w:val="00D1418B"/>
    <w:rsid w:val="00D16750"/>
    <w:rsid w:val="00D16929"/>
    <w:rsid w:val="00D21D9E"/>
    <w:rsid w:val="00D238C9"/>
    <w:rsid w:val="00D24F3D"/>
    <w:rsid w:val="00D2518E"/>
    <w:rsid w:val="00D26CC5"/>
    <w:rsid w:val="00D26FFF"/>
    <w:rsid w:val="00D30776"/>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1720F"/>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BD1"/>
    <w:rsid w:val="00E52FF4"/>
    <w:rsid w:val="00E546CC"/>
    <w:rsid w:val="00E57D57"/>
    <w:rsid w:val="00E57DBE"/>
    <w:rsid w:val="00E61634"/>
    <w:rsid w:val="00E62D37"/>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140F"/>
    <w:rsid w:val="00EB145F"/>
    <w:rsid w:val="00EB1A7B"/>
    <w:rsid w:val="00EB3740"/>
    <w:rsid w:val="00EB48F3"/>
    <w:rsid w:val="00EB528D"/>
    <w:rsid w:val="00EB5779"/>
    <w:rsid w:val="00EB610B"/>
    <w:rsid w:val="00EC0A6F"/>
    <w:rsid w:val="00EC1EE7"/>
    <w:rsid w:val="00EC25F5"/>
    <w:rsid w:val="00EC3D30"/>
    <w:rsid w:val="00EC4037"/>
    <w:rsid w:val="00EC6C7F"/>
    <w:rsid w:val="00EC742B"/>
    <w:rsid w:val="00EC7F65"/>
    <w:rsid w:val="00ED03B7"/>
    <w:rsid w:val="00ED0616"/>
    <w:rsid w:val="00ED1384"/>
    <w:rsid w:val="00ED2554"/>
    <w:rsid w:val="00ED3BF2"/>
    <w:rsid w:val="00ED7710"/>
    <w:rsid w:val="00ED7CC7"/>
    <w:rsid w:val="00EE3B1E"/>
    <w:rsid w:val="00EE44AD"/>
    <w:rsid w:val="00EE5630"/>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5CD2"/>
    <w:rsid w:val="00F762CA"/>
    <w:rsid w:val="00F76798"/>
    <w:rsid w:val="00F8123E"/>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5BE3"/>
    <w:rsid w:val="00FC0AEB"/>
    <w:rsid w:val="00FC2FB6"/>
    <w:rsid w:val="00FC4369"/>
    <w:rsid w:val="00FC50C0"/>
    <w:rsid w:val="00FC5B24"/>
    <w:rsid w:val="00FD1B56"/>
    <w:rsid w:val="00FD31C8"/>
    <w:rsid w:val="00FD78CF"/>
    <w:rsid w:val="00FE103F"/>
    <w:rsid w:val="00FE1BF5"/>
    <w:rsid w:val="00FE23F5"/>
    <w:rsid w:val="00FE29B4"/>
    <w:rsid w:val="00FE7197"/>
    <w:rsid w:val="00FE741B"/>
    <w:rsid w:val="00FF088D"/>
    <w:rsid w:val="00FF0B6E"/>
    <w:rsid w:val="00FF1A84"/>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4677</TotalTime>
  <Pages>24</Pages>
  <Words>13650</Words>
  <Characters>81904</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421</cp:revision>
  <cp:lastPrinted>2023-07-03T07:21:00Z</cp:lastPrinted>
  <dcterms:created xsi:type="dcterms:W3CDTF">2020-12-29T10:06:00Z</dcterms:created>
  <dcterms:modified xsi:type="dcterms:W3CDTF">2023-07-28T09:01:00Z</dcterms:modified>
</cp:coreProperties>
</file>