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C" w:rsidRDefault="002E7603">
      <w:pPr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t>DZP/381/</w:t>
      </w:r>
      <w:r w:rsidR="00E1629B">
        <w:rPr>
          <w:rFonts w:ascii="Tahoma" w:hAnsi="Tahoma" w:cs="Tahoma"/>
          <w:sz w:val="20"/>
          <w:szCs w:val="20"/>
        </w:rPr>
        <w:t>1</w:t>
      </w:r>
      <w:r w:rsidR="00916335">
        <w:rPr>
          <w:rFonts w:ascii="Tahoma" w:hAnsi="Tahoma" w:cs="Tahoma"/>
          <w:sz w:val="20"/>
          <w:szCs w:val="20"/>
        </w:rPr>
        <w:t>42</w:t>
      </w:r>
      <w:r w:rsidR="00E1629B">
        <w:rPr>
          <w:rFonts w:ascii="Tahoma" w:hAnsi="Tahoma" w:cs="Tahoma"/>
          <w:sz w:val="20"/>
          <w:szCs w:val="20"/>
        </w:rPr>
        <w:t>B</w:t>
      </w:r>
      <w:r w:rsidRPr="005E029B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9</w:t>
      </w:r>
    </w:p>
    <w:p w:rsidR="005A6EE3" w:rsidRPr="005B20E1" w:rsidRDefault="003D473C" w:rsidP="005B20E1">
      <w:pPr>
        <w:jc w:val="center"/>
        <w:rPr>
          <w:rFonts w:ascii="Tahoma" w:hAnsi="Tahoma" w:cs="Tahoma"/>
          <w:sz w:val="18"/>
          <w:szCs w:val="18"/>
        </w:rPr>
      </w:pPr>
      <w:r w:rsidRPr="005B20E1">
        <w:rPr>
          <w:rFonts w:ascii="Tahoma" w:hAnsi="Tahoma" w:cs="Tahoma"/>
          <w:sz w:val="18"/>
          <w:szCs w:val="18"/>
        </w:rPr>
        <w:t>FORMULARZ ASORTYMENTOWO-CENOWY</w:t>
      </w:r>
      <w:r w:rsidR="0011055C" w:rsidRPr="005B20E1">
        <w:rPr>
          <w:rFonts w:ascii="Tahoma" w:hAnsi="Tahoma" w:cs="Tahoma"/>
          <w:sz w:val="18"/>
          <w:szCs w:val="18"/>
        </w:rPr>
        <w:t xml:space="preserve"> - </w:t>
      </w:r>
      <w:r w:rsidR="0011055C" w:rsidRPr="005B20E1">
        <w:rPr>
          <w:rFonts w:ascii="Tahoma" w:eastAsia="Times New Roman" w:hAnsi="Tahoma" w:cs="Tahoma"/>
          <w:iCs/>
          <w:sz w:val="18"/>
          <w:szCs w:val="18"/>
          <w:lang w:eastAsia="ar-SA"/>
        </w:rPr>
        <w:t>Zmywarki</w:t>
      </w:r>
    </w:p>
    <w:p w:rsidR="009C6FE2" w:rsidRPr="005B20E1" w:rsidRDefault="002E4445" w:rsidP="009C6FE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B20E1">
        <w:rPr>
          <w:rFonts w:ascii="Tahoma" w:hAnsi="Tahoma" w:cs="Tahoma"/>
          <w:sz w:val="18"/>
          <w:szCs w:val="18"/>
        </w:rPr>
        <w:t xml:space="preserve">  </w:t>
      </w:r>
      <w:r w:rsidR="009C6FE2" w:rsidRPr="005B20E1">
        <w:rPr>
          <w:rFonts w:ascii="Tahoma" w:hAnsi="Tahoma" w:cs="Tahoma"/>
          <w:sz w:val="18"/>
          <w:szCs w:val="18"/>
        </w:rPr>
        <w:t>Pakiet nr 1</w:t>
      </w:r>
      <w:r w:rsidRPr="005B20E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C6FE2" w:rsidRPr="005B20E1">
        <w:rPr>
          <w:rFonts w:ascii="Tahoma" w:hAnsi="Tahoma" w:cs="Tahoma"/>
          <w:sz w:val="18"/>
          <w:szCs w:val="18"/>
        </w:rPr>
        <w:t xml:space="preserve">                          </w:t>
      </w:r>
    </w:p>
    <w:p w:rsidR="00083E93" w:rsidRPr="00E000FF" w:rsidRDefault="009C6FE2" w:rsidP="00E000F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B20E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000FF">
        <w:rPr>
          <w:rFonts w:ascii="Tahoma" w:hAnsi="Tahoma" w:cs="Tahoma"/>
          <w:sz w:val="18"/>
          <w:szCs w:val="18"/>
        </w:rPr>
        <w:t xml:space="preserve">                      </w:t>
      </w:r>
      <w:r w:rsidRPr="005B20E1">
        <w:rPr>
          <w:rFonts w:ascii="Tahoma" w:hAnsi="Tahoma" w:cs="Tahoma"/>
          <w:sz w:val="18"/>
          <w:szCs w:val="18"/>
        </w:rPr>
        <w:t xml:space="preserve">   </w:t>
      </w:r>
      <w:r w:rsidR="003D473C" w:rsidRPr="005B20E1">
        <w:rPr>
          <w:rFonts w:ascii="Tahoma" w:hAnsi="Tahoma" w:cs="Tahoma"/>
          <w:sz w:val="18"/>
          <w:szCs w:val="18"/>
        </w:rPr>
        <w:t xml:space="preserve">Załącznik  </w:t>
      </w:r>
      <w:r w:rsidR="00E1629B" w:rsidRPr="005B20E1">
        <w:rPr>
          <w:rFonts w:ascii="Tahoma" w:hAnsi="Tahoma" w:cs="Tahoma"/>
          <w:sz w:val="18"/>
          <w:szCs w:val="18"/>
        </w:rPr>
        <w:t>4</w:t>
      </w:r>
      <w:r w:rsidR="003D473C" w:rsidRPr="005B20E1">
        <w:rPr>
          <w:rFonts w:ascii="Tahoma" w:hAnsi="Tahoma" w:cs="Tahoma"/>
          <w:sz w:val="18"/>
          <w:szCs w:val="18"/>
        </w:rPr>
        <w:t>.1</w:t>
      </w:r>
    </w:p>
    <w:tbl>
      <w:tblPr>
        <w:tblStyle w:val="Tabela-Siatka"/>
        <w:tblW w:w="0" w:type="auto"/>
        <w:tblLook w:val="04A0"/>
      </w:tblPr>
      <w:tblGrid>
        <w:gridCol w:w="532"/>
        <w:gridCol w:w="4538"/>
        <w:gridCol w:w="708"/>
        <w:gridCol w:w="709"/>
        <w:gridCol w:w="1134"/>
        <w:gridCol w:w="1418"/>
        <w:gridCol w:w="992"/>
        <w:gridCol w:w="1048"/>
        <w:gridCol w:w="1393"/>
        <w:gridCol w:w="1746"/>
      </w:tblGrid>
      <w:tr w:rsidR="000F68EC" w:rsidTr="003818E2">
        <w:tc>
          <w:tcPr>
            <w:tcW w:w="532" w:type="dxa"/>
          </w:tcPr>
          <w:p w:rsidR="003818E2" w:rsidRDefault="003818E2" w:rsidP="003818E2">
            <w:pPr>
              <w:jc w:val="center"/>
              <w:rPr>
                <w:sz w:val="20"/>
                <w:szCs w:val="20"/>
              </w:rPr>
            </w:pPr>
          </w:p>
          <w:p w:rsidR="000F68EC" w:rsidRPr="00244341" w:rsidRDefault="008E3482" w:rsidP="003818E2">
            <w:pPr>
              <w:jc w:val="center"/>
              <w:rPr>
                <w:sz w:val="20"/>
                <w:szCs w:val="20"/>
              </w:rPr>
            </w:pPr>
            <w:r w:rsidRPr="00244341">
              <w:rPr>
                <w:sz w:val="20"/>
                <w:szCs w:val="20"/>
              </w:rPr>
              <w:t>Lp.</w:t>
            </w:r>
          </w:p>
        </w:tc>
        <w:tc>
          <w:tcPr>
            <w:tcW w:w="4538" w:type="dxa"/>
          </w:tcPr>
          <w:p w:rsidR="003818E2" w:rsidRPr="004B629E" w:rsidRDefault="003818E2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8E3482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</w:tcPr>
          <w:p w:rsidR="003818E2" w:rsidRPr="004B629E" w:rsidRDefault="003818E2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8E3482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J.m.</w:t>
            </w:r>
          </w:p>
        </w:tc>
        <w:tc>
          <w:tcPr>
            <w:tcW w:w="709" w:type="dxa"/>
          </w:tcPr>
          <w:p w:rsidR="003818E2" w:rsidRPr="004B629E" w:rsidRDefault="003818E2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DD7C7C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847BB9" w:rsidRPr="004B629E" w:rsidRDefault="00847BB9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DD7C7C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 xml:space="preserve">Cena </w:t>
            </w:r>
            <w:proofErr w:type="spellStart"/>
            <w:r w:rsidR="00895F37" w:rsidRPr="004B629E">
              <w:rPr>
                <w:sz w:val="18"/>
                <w:szCs w:val="18"/>
              </w:rPr>
              <w:t>j.m</w:t>
            </w:r>
            <w:proofErr w:type="spellEnd"/>
            <w:r w:rsidR="00895F37" w:rsidRPr="004B629E">
              <w:rPr>
                <w:sz w:val="18"/>
                <w:szCs w:val="18"/>
              </w:rPr>
              <w:t xml:space="preserve"> netto</w:t>
            </w:r>
          </w:p>
        </w:tc>
        <w:tc>
          <w:tcPr>
            <w:tcW w:w="1418" w:type="dxa"/>
          </w:tcPr>
          <w:p w:rsidR="003818E2" w:rsidRPr="004B629E" w:rsidRDefault="003818E2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895F37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Wartość netto</w:t>
            </w:r>
          </w:p>
        </w:tc>
        <w:tc>
          <w:tcPr>
            <w:tcW w:w="992" w:type="dxa"/>
          </w:tcPr>
          <w:p w:rsidR="000F68EC" w:rsidRPr="004B629E" w:rsidRDefault="00895F37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 xml:space="preserve">Stawka </w:t>
            </w:r>
            <w:r w:rsidR="00AF1135" w:rsidRPr="004B629E">
              <w:rPr>
                <w:sz w:val="18"/>
                <w:szCs w:val="18"/>
              </w:rPr>
              <w:t xml:space="preserve">podatku </w:t>
            </w:r>
            <w:r w:rsidRPr="004B629E">
              <w:rPr>
                <w:sz w:val="18"/>
                <w:szCs w:val="18"/>
              </w:rPr>
              <w:t>VAT%</w:t>
            </w:r>
          </w:p>
        </w:tc>
        <w:tc>
          <w:tcPr>
            <w:tcW w:w="1048" w:type="dxa"/>
          </w:tcPr>
          <w:p w:rsidR="000F68EC" w:rsidRPr="004B629E" w:rsidRDefault="00895F37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Podatek VAT kwota</w:t>
            </w:r>
          </w:p>
        </w:tc>
        <w:tc>
          <w:tcPr>
            <w:tcW w:w="1393" w:type="dxa"/>
          </w:tcPr>
          <w:p w:rsidR="00E000FF" w:rsidRPr="004B629E" w:rsidRDefault="00E000FF" w:rsidP="003818E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AF1135" w:rsidP="003818E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Wartość brutto</w:t>
            </w:r>
          </w:p>
        </w:tc>
        <w:tc>
          <w:tcPr>
            <w:tcW w:w="1746" w:type="dxa"/>
          </w:tcPr>
          <w:p w:rsidR="000F68EC" w:rsidRPr="004B629E" w:rsidRDefault="00AF1135" w:rsidP="00E1629B">
            <w:pPr>
              <w:rPr>
                <w:rFonts w:cstheme="minorHAnsi"/>
                <w:sz w:val="18"/>
                <w:szCs w:val="18"/>
              </w:rPr>
            </w:pPr>
            <w:r w:rsidRPr="004B629E">
              <w:rPr>
                <w:rFonts w:cstheme="minorHAnsi"/>
                <w:sz w:val="18"/>
                <w:szCs w:val="18"/>
              </w:rPr>
              <w:t>Nazwa handlowa,numer katalogowy</w:t>
            </w:r>
            <w:r w:rsidR="00E1629B" w:rsidRPr="004B629E">
              <w:rPr>
                <w:rFonts w:cstheme="minorHAnsi"/>
                <w:sz w:val="18"/>
                <w:szCs w:val="18"/>
              </w:rPr>
              <w:t xml:space="preserve">, </w:t>
            </w:r>
            <w:r w:rsidR="00244341" w:rsidRPr="004B629E">
              <w:rPr>
                <w:rFonts w:cstheme="minorHAnsi"/>
                <w:sz w:val="18"/>
                <w:szCs w:val="18"/>
              </w:rPr>
              <w:t xml:space="preserve"> producent  </w:t>
            </w:r>
          </w:p>
        </w:tc>
      </w:tr>
      <w:tr w:rsidR="000F68EC" w:rsidTr="003818E2">
        <w:tc>
          <w:tcPr>
            <w:tcW w:w="532" w:type="dxa"/>
          </w:tcPr>
          <w:p w:rsidR="00127539" w:rsidRDefault="00127539"/>
          <w:p w:rsidR="000F68EC" w:rsidRPr="004B629E" w:rsidRDefault="004B629E" w:rsidP="00B239F2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1</w:t>
            </w:r>
          </w:p>
        </w:tc>
        <w:tc>
          <w:tcPr>
            <w:tcW w:w="4538" w:type="dxa"/>
          </w:tcPr>
          <w:p w:rsidR="0051515E" w:rsidRPr="004B629E" w:rsidRDefault="00FC5191" w:rsidP="0067754F">
            <w:pPr>
              <w:rPr>
                <w:rFonts w:cstheme="minorHAnsi"/>
                <w:sz w:val="18"/>
                <w:szCs w:val="18"/>
              </w:rPr>
            </w:pPr>
            <w:r w:rsidRPr="004B629E">
              <w:rPr>
                <w:rFonts w:cstheme="minorHAnsi"/>
                <w:sz w:val="18"/>
                <w:szCs w:val="18"/>
              </w:rPr>
              <w:t xml:space="preserve">Zmywarka wolnostojąca ze zdejmowanym blatem o pojemności: 9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. Wymiary:45 x 84,5 x 60 cm  Klasa energetyczna A++, klasa suszenia i zmywania A. Kolor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srebrny,panel</w:t>
            </w:r>
            <w:proofErr w:type="spellEnd"/>
            <w:r w:rsidR="00AA3737" w:rsidRPr="004B629E">
              <w:rPr>
                <w:rFonts w:cstheme="minorHAnsi"/>
                <w:sz w:val="18"/>
                <w:szCs w:val="18"/>
              </w:rPr>
              <w:t xml:space="preserve"> sterujący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zewnętrzny.Program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zmywania min.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Automatyczny,eco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, intensywny. Temperatury zmywania 45,50,65,70 st. C. Sterowanie elektroniczne, wyświetlacz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LED,wskaźnik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braku soli i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nabłyszczacza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>. Opóźnienie startu pracy. Koszyk na sztućce. Dno zmywarki wykonane ze stali nierdzewnej. Funkcje dodatkowe:</w:t>
            </w:r>
            <w:r w:rsidR="00E9015A" w:rsidRPr="004B629E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AntiFingerprint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- ochrona przed odciskami palców, automatyka zmywania (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AquaSensor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),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DuoPower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- podwójne ramię w górnym koszu,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EcoSilence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Drive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- silnik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bezszczotkowy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, elektroniczna regeneracja, Extra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dry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- dokładne wysuszenie,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HygienaPlus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, pomocnik dozowania, sensor załadunku, technika naprzemiennego mycia,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VarioFlex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VarioSpeed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 xml:space="preserve"> Plus, wymiennik ciepła  Wyposażenie:</w:t>
            </w:r>
            <w:r w:rsidR="00E9015A" w:rsidRPr="004B629E">
              <w:rPr>
                <w:rFonts w:cstheme="minorHAnsi"/>
                <w:sz w:val="18"/>
                <w:szCs w:val="18"/>
              </w:rPr>
              <w:t xml:space="preserve"> </w:t>
            </w:r>
            <w:r w:rsidRPr="004B629E">
              <w:rPr>
                <w:rFonts w:cstheme="minorHAnsi"/>
                <w:sz w:val="18"/>
                <w:szCs w:val="18"/>
              </w:rPr>
              <w:t>in</w:t>
            </w:r>
            <w:r w:rsidR="00183EDB" w:rsidRPr="004B629E">
              <w:rPr>
                <w:rFonts w:cstheme="minorHAnsi"/>
                <w:sz w:val="18"/>
                <w:szCs w:val="18"/>
              </w:rPr>
              <w:t>s</w:t>
            </w:r>
            <w:r w:rsidRPr="004B629E">
              <w:rPr>
                <w:rFonts w:cstheme="minorHAnsi"/>
                <w:sz w:val="18"/>
                <w:szCs w:val="18"/>
              </w:rPr>
              <w:t xml:space="preserve">trukcja obsługi w </w:t>
            </w:r>
            <w:proofErr w:type="spellStart"/>
            <w:r w:rsidRPr="004B629E">
              <w:rPr>
                <w:rFonts w:cstheme="minorHAnsi"/>
                <w:sz w:val="18"/>
                <w:szCs w:val="18"/>
              </w:rPr>
              <w:t>j.polskim</w:t>
            </w:r>
            <w:proofErr w:type="spellEnd"/>
            <w:r w:rsidRPr="004B629E">
              <w:rPr>
                <w:rFonts w:cstheme="minorHAnsi"/>
                <w:sz w:val="18"/>
                <w:szCs w:val="18"/>
              </w:rPr>
              <w:t>,  wąż dopływowy, wąż odpływowy.</w:t>
            </w:r>
          </w:p>
        </w:tc>
        <w:tc>
          <w:tcPr>
            <w:tcW w:w="708" w:type="dxa"/>
          </w:tcPr>
          <w:p w:rsidR="005B20E1" w:rsidRPr="004B629E" w:rsidRDefault="005B20E1" w:rsidP="00B239F2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B239F2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B239F2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B239F2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B239F2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571FA1" w:rsidP="00B239F2">
            <w:pPr>
              <w:jc w:val="center"/>
              <w:rPr>
                <w:sz w:val="18"/>
                <w:szCs w:val="18"/>
              </w:rPr>
            </w:pPr>
            <w:proofErr w:type="spellStart"/>
            <w:r w:rsidRPr="004B629E"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9" w:type="dxa"/>
          </w:tcPr>
          <w:p w:rsidR="005B20E1" w:rsidRPr="004B629E" w:rsidRDefault="005B20E1" w:rsidP="007F4D7F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7F4D7F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7F4D7F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7F4D7F">
            <w:pPr>
              <w:jc w:val="center"/>
              <w:rPr>
                <w:sz w:val="18"/>
                <w:szCs w:val="18"/>
              </w:rPr>
            </w:pPr>
          </w:p>
          <w:p w:rsidR="005B20E1" w:rsidRPr="004B629E" w:rsidRDefault="005B20E1" w:rsidP="007F4D7F">
            <w:pPr>
              <w:jc w:val="center"/>
              <w:rPr>
                <w:sz w:val="18"/>
                <w:szCs w:val="18"/>
              </w:rPr>
            </w:pPr>
          </w:p>
          <w:p w:rsidR="000F68EC" w:rsidRPr="004B629E" w:rsidRDefault="002913A2" w:rsidP="007F4D7F">
            <w:pPr>
              <w:jc w:val="center"/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F68EC" w:rsidRDefault="000F68EC"/>
        </w:tc>
        <w:tc>
          <w:tcPr>
            <w:tcW w:w="1418" w:type="dxa"/>
          </w:tcPr>
          <w:p w:rsidR="000F68EC" w:rsidRDefault="000F68EC"/>
        </w:tc>
        <w:tc>
          <w:tcPr>
            <w:tcW w:w="992" w:type="dxa"/>
          </w:tcPr>
          <w:p w:rsidR="000F68EC" w:rsidRDefault="000F68EC"/>
        </w:tc>
        <w:tc>
          <w:tcPr>
            <w:tcW w:w="1048" w:type="dxa"/>
          </w:tcPr>
          <w:p w:rsidR="000F68EC" w:rsidRDefault="000F68EC"/>
        </w:tc>
        <w:tc>
          <w:tcPr>
            <w:tcW w:w="1393" w:type="dxa"/>
          </w:tcPr>
          <w:p w:rsidR="000F68EC" w:rsidRDefault="000F68EC"/>
        </w:tc>
        <w:tc>
          <w:tcPr>
            <w:tcW w:w="1746" w:type="dxa"/>
          </w:tcPr>
          <w:p w:rsidR="000F68EC" w:rsidRPr="002E4445" w:rsidRDefault="000F68EC">
            <w:pPr>
              <w:rPr>
                <w:rFonts w:ascii="Tahoma" w:hAnsi="Tahoma" w:cs="Tahoma"/>
              </w:rPr>
            </w:pPr>
          </w:p>
        </w:tc>
      </w:tr>
      <w:tr w:rsidR="000D0C5A" w:rsidTr="003818E2">
        <w:tc>
          <w:tcPr>
            <w:tcW w:w="532" w:type="dxa"/>
          </w:tcPr>
          <w:p w:rsidR="000D0C5A" w:rsidRDefault="000D0C5A"/>
        </w:tc>
        <w:tc>
          <w:tcPr>
            <w:tcW w:w="4538" w:type="dxa"/>
          </w:tcPr>
          <w:p w:rsidR="000D0C5A" w:rsidRPr="004B629E" w:rsidRDefault="000D0C5A">
            <w:pPr>
              <w:rPr>
                <w:sz w:val="18"/>
                <w:szCs w:val="18"/>
              </w:rPr>
            </w:pPr>
            <w:r w:rsidRPr="004B629E">
              <w:rPr>
                <w:sz w:val="18"/>
                <w:szCs w:val="18"/>
              </w:rPr>
              <w:t>RAZEM</w:t>
            </w:r>
          </w:p>
          <w:p w:rsidR="00127539" w:rsidRPr="004B629E" w:rsidRDefault="0012753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0D0C5A" w:rsidRDefault="000D0C5A"/>
        </w:tc>
        <w:tc>
          <w:tcPr>
            <w:tcW w:w="1418" w:type="dxa"/>
          </w:tcPr>
          <w:p w:rsidR="000D0C5A" w:rsidRDefault="000D0C5A"/>
        </w:tc>
        <w:tc>
          <w:tcPr>
            <w:tcW w:w="992" w:type="dxa"/>
          </w:tcPr>
          <w:p w:rsidR="000D0C5A" w:rsidRDefault="000D0C5A"/>
        </w:tc>
        <w:tc>
          <w:tcPr>
            <w:tcW w:w="1048" w:type="dxa"/>
          </w:tcPr>
          <w:p w:rsidR="000D0C5A" w:rsidRDefault="000D0C5A"/>
        </w:tc>
        <w:tc>
          <w:tcPr>
            <w:tcW w:w="1393" w:type="dxa"/>
          </w:tcPr>
          <w:p w:rsidR="000D0C5A" w:rsidRDefault="000D0C5A"/>
        </w:tc>
        <w:tc>
          <w:tcPr>
            <w:tcW w:w="1746" w:type="dxa"/>
          </w:tcPr>
          <w:p w:rsidR="000D0C5A" w:rsidRPr="002E4445" w:rsidRDefault="000D0C5A">
            <w:pPr>
              <w:rPr>
                <w:rFonts w:ascii="Tahoma" w:hAnsi="Tahoma" w:cs="Tahoma"/>
              </w:rPr>
            </w:pPr>
          </w:p>
        </w:tc>
      </w:tr>
    </w:tbl>
    <w:p w:rsidR="000F68EC" w:rsidRDefault="000F68EC"/>
    <w:p w:rsidR="00825486" w:rsidRPr="004B629E" w:rsidRDefault="00304EDE">
      <w:pPr>
        <w:rPr>
          <w:rFonts w:ascii="Tahoma" w:hAnsi="Tahoma" w:cs="Tahoma"/>
          <w:sz w:val="18"/>
          <w:szCs w:val="18"/>
        </w:rPr>
      </w:pPr>
      <w:r w:rsidRPr="00E000FF">
        <w:rPr>
          <w:rFonts w:ascii="Tahoma" w:hAnsi="Tahoma" w:cs="Tahoma"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:rsidR="000D0C5A" w:rsidRDefault="000D0C5A" w:rsidP="00245BB9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0D0C5A" w:rsidRDefault="000D0C5A" w:rsidP="000D0C5A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0D0C5A" w:rsidRPr="000662D8" w:rsidRDefault="00245BB9" w:rsidP="000D0C5A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0D0C5A" w:rsidRPr="000662D8">
        <w:rPr>
          <w:rFonts w:ascii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1334F0" w:rsidRDefault="001334F0" w:rsidP="008F680D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1334F0" w:rsidRDefault="001334F0" w:rsidP="008F680D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0D0C5A" w:rsidRPr="000662D8" w:rsidRDefault="00245BB9" w:rsidP="008F680D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0D0C5A"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C35128" w:rsidRPr="0018550F" w:rsidRDefault="00245BB9" w:rsidP="0018550F">
      <w:pPr>
        <w:suppressAutoHyphens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0D0C5A"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1334F0" w:rsidRDefault="001334F0" w:rsidP="001334F0">
      <w:pPr>
        <w:rPr>
          <w:rFonts w:ascii="Tahoma" w:hAnsi="Tahoma" w:cs="Tahoma"/>
          <w:sz w:val="20"/>
          <w:szCs w:val="20"/>
        </w:rPr>
      </w:pPr>
      <w:r w:rsidRPr="005E029B">
        <w:rPr>
          <w:rFonts w:ascii="Tahoma" w:hAnsi="Tahoma" w:cs="Tahoma"/>
          <w:sz w:val="20"/>
          <w:szCs w:val="20"/>
        </w:rPr>
        <w:lastRenderedPageBreak/>
        <w:t>DZP/381/</w:t>
      </w:r>
      <w:r>
        <w:rPr>
          <w:rFonts w:ascii="Tahoma" w:hAnsi="Tahoma" w:cs="Tahoma"/>
          <w:sz w:val="20"/>
          <w:szCs w:val="20"/>
        </w:rPr>
        <w:t>142B</w:t>
      </w:r>
      <w:r w:rsidRPr="005E029B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9</w:t>
      </w:r>
    </w:p>
    <w:p w:rsidR="00DA4193" w:rsidRDefault="00AF2CFD" w:rsidP="00A00FE0">
      <w:pPr>
        <w:jc w:val="center"/>
        <w:rPr>
          <w:rFonts w:ascii="Tahoma" w:eastAsia="Times New Roman" w:hAnsi="Tahoma" w:cs="Tahoma"/>
          <w:iCs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FORMULARZ</w:t>
      </w:r>
      <w:r w:rsidR="00587279">
        <w:rPr>
          <w:rFonts w:ascii="Tahoma" w:hAnsi="Tahoma" w:cs="Tahoma"/>
          <w:sz w:val="20"/>
          <w:szCs w:val="20"/>
        </w:rPr>
        <w:t xml:space="preserve"> ASORTYMENTOWO-CENOW</w:t>
      </w:r>
      <w:r w:rsidR="00A00FE0">
        <w:rPr>
          <w:rFonts w:ascii="Tahoma" w:hAnsi="Tahoma" w:cs="Tahoma"/>
          <w:sz w:val="20"/>
          <w:szCs w:val="20"/>
        </w:rPr>
        <w:t>Y</w:t>
      </w:r>
      <w:r w:rsidR="008A2BCD">
        <w:rPr>
          <w:rFonts w:ascii="Tahoma" w:hAnsi="Tahoma" w:cs="Tahoma"/>
          <w:sz w:val="20"/>
          <w:szCs w:val="20"/>
        </w:rPr>
        <w:t>-</w:t>
      </w:r>
      <w:r w:rsidR="008A2BCD">
        <w:rPr>
          <w:rFonts w:ascii="Tahoma" w:eastAsia="Times New Roman" w:hAnsi="Tahoma" w:cs="Tahoma"/>
          <w:iCs/>
          <w:sz w:val="20"/>
          <w:szCs w:val="20"/>
          <w:lang w:eastAsia="ar-SA"/>
        </w:rPr>
        <w:t xml:space="preserve"> </w:t>
      </w:r>
      <w:r w:rsidR="001D7F5F">
        <w:rPr>
          <w:rFonts w:ascii="Tahoma" w:eastAsia="Times New Roman" w:hAnsi="Tahoma" w:cs="Tahoma"/>
          <w:iCs/>
          <w:sz w:val="20"/>
          <w:szCs w:val="20"/>
          <w:lang w:eastAsia="ar-SA"/>
        </w:rPr>
        <w:t>C</w:t>
      </w:r>
      <w:r w:rsidR="008A2BCD">
        <w:rPr>
          <w:rFonts w:ascii="Tahoma" w:eastAsia="Times New Roman" w:hAnsi="Tahoma" w:cs="Tahoma"/>
          <w:iCs/>
          <w:sz w:val="20"/>
          <w:szCs w:val="20"/>
          <w:lang w:eastAsia="ar-SA"/>
        </w:rPr>
        <w:t>hłodziarki</w:t>
      </w:r>
    </w:p>
    <w:p w:rsidR="008A2BCD" w:rsidRPr="0018550F" w:rsidRDefault="00A82CF1" w:rsidP="001334F0">
      <w:pPr>
        <w:jc w:val="both"/>
        <w:rPr>
          <w:rFonts w:cstheme="minorHAnsi"/>
          <w:sz w:val="20"/>
          <w:szCs w:val="20"/>
        </w:rPr>
      </w:pPr>
      <w:r w:rsidRPr="0018550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18550F" w:rsidRPr="0018550F">
        <w:rPr>
          <w:rFonts w:cstheme="minorHAnsi"/>
          <w:sz w:val="20"/>
          <w:szCs w:val="20"/>
        </w:rPr>
        <w:t xml:space="preserve">    </w:t>
      </w:r>
      <w:r w:rsidR="001334F0">
        <w:rPr>
          <w:rFonts w:cstheme="minorHAnsi"/>
          <w:sz w:val="20"/>
          <w:szCs w:val="20"/>
        </w:rPr>
        <w:t xml:space="preserve">                                                 </w:t>
      </w:r>
      <w:r w:rsidR="0010374F">
        <w:rPr>
          <w:rFonts w:cstheme="minorHAnsi"/>
          <w:sz w:val="20"/>
          <w:szCs w:val="20"/>
        </w:rPr>
        <w:t xml:space="preserve">                           </w:t>
      </w:r>
      <w:r w:rsidR="001334F0">
        <w:rPr>
          <w:rFonts w:cstheme="minorHAnsi"/>
          <w:sz w:val="20"/>
          <w:szCs w:val="20"/>
        </w:rPr>
        <w:t xml:space="preserve"> </w:t>
      </w:r>
      <w:r w:rsidR="0010374F" w:rsidRPr="0018550F">
        <w:rPr>
          <w:rFonts w:cstheme="minorHAnsi"/>
          <w:sz w:val="20"/>
          <w:szCs w:val="20"/>
        </w:rPr>
        <w:t>Załącznik  4.2</w:t>
      </w:r>
      <w:r w:rsidR="001334F0">
        <w:rPr>
          <w:rFonts w:cstheme="minorHAnsi"/>
          <w:sz w:val="20"/>
          <w:szCs w:val="20"/>
        </w:rPr>
        <w:t xml:space="preserve">    </w:t>
      </w:r>
      <w:r w:rsidR="0018550F" w:rsidRPr="0018550F">
        <w:rPr>
          <w:rFonts w:cstheme="minorHAnsi"/>
          <w:sz w:val="20"/>
          <w:szCs w:val="20"/>
        </w:rPr>
        <w:t xml:space="preserve">  </w:t>
      </w:r>
      <w:r w:rsidRPr="0018550F">
        <w:rPr>
          <w:rFonts w:cstheme="minorHAnsi"/>
          <w:sz w:val="20"/>
          <w:szCs w:val="20"/>
        </w:rPr>
        <w:t xml:space="preserve"> </w:t>
      </w:r>
      <w:r w:rsidR="001334F0">
        <w:rPr>
          <w:rFonts w:cstheme="minorHAnsi"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Tabela-Siatka"/>
        <w:tblW w:w="15120" w:type="dxa"/>
        <w:tblInd w:w="-318" w:type="dxa"/>
        <w:tblLook w:val="04A0"/>
      </w:tblPr>
      <w:tblGrid>
        <w:gridCol w:w="568"/>
        <w:gridCol w:w="5224"/>
        <w:gridCol w:w="541"/>
        <w:gridCol w:w="738"/>
        <w:gridCol w:w="1181"/>
        <w:gridCol w:w="1476"/>
        <w:gridCol w:w="1033"/>
        <w:gridCol w:w="1091"/>
        <w:gridCol w:w="1450"/>
        <w:gridCol w:w="1818"/>
      </w:tblGrid>
      <w:tr w:rsidR="0057421C" w:rsidTr="0057421C">
        <w:trPr>
          <w:trHeight w:val="35"/>
        </w:trPr>
        <w:tc>
          <w:tcPr>
            <w:tcW w:w="568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5224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541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J.m.</w:t>
            </w:r>
          </w:p>
        </w:tc>
        <w:tc>
          <w:tcPr>
            <w:tcW w:w="738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181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  <w:proofErr w:type="spellStart"/>
            <w:r w:rsidRPr="0010374F">
              <w:rPr>
                <w:rFonts w:ascii="Calibri" w:hAnsi="Calibri" w:cs="Calibri"/>
                <w:sz w:val="18"/>
                <w:szCs w:val="18"/>
              </w:rPr>
              <w:t>j.m</w:t>
            </w:r>
            <w:proofErr w:type="spellEnd"/>
            <w:r w:rsidRPr="0010374F">
              <w:rPr>
                <w:rFonts w:ascii="Calibri" w:hAnsi="Calibri" w:cs="Calibri"/>
                <w:sz w:val="18"/>
                <w:szCs w:val="18"/>
              </w:rPr>
              <w:t xml:space="preserve"> netto</w:t>
            </w:r>
          </w:p>
        </w:tc>
        <w:tc>
          <w:tcPr>
            <w:tcW w:w="1476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</w:tc>
        <w:tc>
          <w:tcPr>
            <w:tcW w:w="1033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Stawka podatku VAT%</w:t>
            </w:r>
          </w:p>
        </w:tc>
        <w:tc>
          <w:tcPr>
            <w:tcW w:w="1091" w:type="dxa"/>
          </w:tcPr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Podatek VAT kwota</w:t>
            </w:r>
          </w:p>
        </w:tc>
        <w:tc>
          <w:tcPr>
            <w:tcW w:w="1450" w:type="dxa"/>
          </w:tcPr>
          <w:p w:rsidR="0010374F" w:rsidRDefault="0010374F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7421C" w:rsidRPr="0010374F" w:rsidRDefault="0057421C" w:rsidP="0057421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>Wartość brutto</w:t>
            </w:r>
          </w:p>
        </w:tc>
        <w:tc>
          <w:tcPr>
            <w:tcW w:w="1818" w:type="dxa"/>
          </w:tcPr>
          <w:p w:rsidR="0057421C" w:rsidRPr="0010374F" w:rsidRDefault="0057421C" w:rsidP="008D1069">
            <w:pPr>
              <w:rPr>
                <w:rFonts w:ascii="Calibri" w:hAnsi="Calibri" w:cs="Calibri"/>
                <w:sz w:val="18"/>
                <w:szCs w:val="18"/>
              </w:rPr>
            </w:pPr>
            <w:r w:rsidRPr="0010374F">
              <w:rPr>
                <w:rFonts w:ascii="Calibri" w:hAnsi="Calibri" w:cs="Calibri"/>
                <w:sz w:val="18"/>
                <w:szCs w:val="18"/>
              </w:rPr>
              <w:t xml:space="preserve">Nazwa handlowa, numer katalogowy,  producent  </w:t>
            </w:r>
          </w:p>
        </w:tc>
      </w:tr>
      <w:tr w:rsidR="0057421C" w:rsidRPr="008E0223" w:rsidTr="0057421C">
        <w:trPr>
          <w:trHeight w:val="35"/>
        </w:trPr>
        <w:tc>
          <w:tcPr>
            <w:tcW w:w="568" w:type="dxa"/>
          </w:tcPr>
          <w:p w:rsidR="0057421C" w:rsidRPr="0010374F" w:rsidRDefault="0057421C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224" w:type="dxa"/>
          </w:tcPr>
          <w:p w:rsidR="0057421C" w:rsidRPr="0010374F" w:rsidRDefault="00337F37" w:rsidP="00895C55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jednodrzwiowa  o całkowitej pojemności netto 314 l, w klasie energetycznej A+. Lodówka sterowana  elektronicznie ze wskaźnikami LED. Wewnętrzna strona drzwi chłodziarki wyposażona jest w  min.4 balkoniki.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>Chłodziarka wyposażona w  min.4 szklane półki z możliwością regulacji wysokości, półka na butelki oraz pojemnik na warzywa. Chłodziarka  rozmrażana automatycznie,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>Maksymalne roczne zużycie do 150 kWh energii elektrycznej.  Wysokość  155 cm Głębokość 66,8 cm  Szerokość 59,5 cm   Kolor srebrny +stal szlachetna.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>Poziom hałasu  do 40dB.</w:t>
            </w:r>
          </w:p>
        </w:tc>
        <w:tc>
          <w:tcPr>
            <w:tcW w:w="541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7421C" w:rsidRPr="00416274" w:rsidRDefault="00337F37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7421C" w:rsidRPr="00416274" w:rsidRDefault="00337F37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1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57421C" w:rsidRPr="008E0223" w:rsidRDefault="0057421C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F37" w:rsidRPr="008E0223" w:rsidTr="0057421C">
        <w:trPr>
          <w:trHeight w:val="35"/>
        </w:trPr>
        <w:tc>
          <w:tcPr>
            <w:tcW w:w="568" w:type="dxa"/>
          </w:tcPr>
          <w:p w:rsidR="00337F37" w:rsidRPr="0010374F" w:rsidRDefault="00B3340B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224" w:type="dxa"/>
          </w:tcPr>
          <w:p w:rsidR="00337F37" w:rsidRPr="0010374F" w:rsidRDefault="00337F37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 xml:space="preserve">Chłodziarka  wolnostojąca klasy A+++ wyposażona w szufladę z kontrolą wilgotności i komorę zamrażarki. Pojemność użytkowa chłodziarki netto 97 l  , Poziom hałasu do 40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dB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.   Pojemność netto  zamrażalnika 12 l . Automatyczne rozmrażanie chłodziarki. Mechaniczne sterowanie temperaturą . Półki chłodziarki: 3 pełnej szerokości, szklane z obramowaniem. Szuflada  pełnej szerokości .Oświetlenie chłodziarki wewnętrzne, żarówka LED.  Kolor chłodziarki biały .Położenie zawiasów: prawostronne, odwracalne  Nóżki: regulowane stopy. Wymiary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WxSxG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: :84,5x54,6 x57,1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cm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41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B3340B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B3340B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8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F37" w:rsidRPr="008E0223" w:rsidTr="0057421C">
        <w:trPr>
          <w:trHeight w:val="35"/>
        </w:trPr>
        <w:tc>
          <w:tcPr>
            <w:tcW w:w="568" w:type="dxa"/>
          </w:tcPr>
          <w:p w:rsidR="00337F37" w:rsidRPr="0010374F" w:rsidRDefault="00B3340B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224" w:type="dxa"/>
          </w:tcPr>
          <w:p w:rsidR="00337F37" w:rsidRDefault="00C06143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laboratoryjna - obudowa z blachy malowanej proszkowo na kolor szary z nadstawką grafitową, wnętrze ze stali nierdze</w:t>
            </w:r>
            <w:r w:rsidR="00CB0A5E" w:rsidRPr="0010374F">
              <w:rPr>
                <w:rFonts w:cstheme="minorHAnsi"/>
                <w:sz w:val="18"/>
                <w:szCs w:val="18"/>
              </w:rPr>
              <w:t>w</w:t>
            </w:r>
            <w:r w:rsidRPr="0010374F">
              <w:rPr>
                <w:rFonts w:cstheme="minorHAnsi"/>
                <w:sz w:val="18"/>
                <w:szCs w:val="18"/>
              </w:rPr>
              <w:t xml:space="preserve">nej 0H17 (DIN 1.4016), z wymuszonym obiegiem powietrza, pojemność 150 l, zakres temperatury od 0°C do +15°C, regulacja temperatury co 0,1°C,4,3" , dotykowy, kolorowy 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wyświetlacz </w:t>
            </w:r>
            <w:r w:rsidRPr="0010374F">
              <w:rPr>
                <w:rFonts w:cstheme="minorHAnsi"/>
                <w:sz w:val="18"/>
                <w:szCs w:val="18"/>
              </w:rPr>
              <w:t>graficzny.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>Wymiary wewnętrzne komory (szer. x wys. x gł.) 520 x 660 x 420 mm, wymiary zewnętrzne (szer. x wys. X gł.) 620 x 900 x 650 mm, 3 półki druciane INOX, regulowane położenie prowadnic, otwór do wprowadzania zewnętrznego czujnika f = 30 mm, pamięć wyników pomiarowych, zamknięcie na klucz, sygnalizacja otwartych drzwi, zewnętrzne drzwi szklane, oświetlenie wewnętrzne LED.</w:t>
            </w:r>
          </w:p>
          <w:p w:rsidR="007D5A19" w:rsidRPr="0010374F" w:rsidRDefault="007D5A19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C06143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C06143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18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F37" w:rsidRPr="008E0223" w:rsidTr="0057421C">
        <w:trPr>
          <w:trHeight w:val="35"/>
        </w:trPr>
        <w:tc>
          <w:tcPr>
            <w:tcW w:w="568" w:type="dxa"/>
          </w:tcPr>
          <w:p w:rsidR="00337F37" w:rsidRPr="0010374F" w:rsidRDefault="00B3340B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5224" w:type="dxa"/>
          </w:tcPr>
          <w:p w:rsidR="00337F37" w:rsidRPr="0010374F" w:rsidRDefault="00C06143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laboratoryjna - obudowa z blachy malowanej proszkowo, wnętrze wykonane ze stali nierdze</w:t>
            </w:r>
            <w:r w:rsidR="00CB0A5E" w:rsidRPr="0010374F">
              <w:rPr>
                <w:rFonts w:cstheme="minorHAnsi"/>
                <w:sz w:val="18"/>
                <w:szCs w:val="18"/>
              </w:rPr>
              <w:t>w</w:t>
            </w:r>
            <w:r w:rsidRPr="0010374F">
              <w:rPr>
                <w:rFonts w:cstheme="minorHAnsi"/>
                <w:sz w:val="18"/>
                <w:szCs w:val="18"/>
              </w:rPr>
              <w:t>nej 0H17 (DIN 1.4016), z drzwiami szklanymi i wymuszonym obiegiem powietrza, pojemność komory 200 l, zakres temperatury od 0°C do +15°C, regulacja temperatury co 0,1°C, wyświetlacz graficzny LCD, wymiary wewnętrzne komory (szer. x wys. x gł.) 520x860x480 mm, wymiary zewnętrzne (szer. x wys. x gł.) 620x1060x650 mm, 3 półki druciane INOX, regulowane położenie prowadnic, otwór do wprowadzania zewnętrznego czujnika f = 30 mm, pamięć wyników pomiarowych, zamknięcie na klucz, sygnalizacja otwartych drzwi, oświetlenie wewnętrzne LED.</w:t>
            </w:r>
          </w:p>
        </w:tc>
        <w:tc>
          <w:tcPr>
            <w:tcW w:w="541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3A294C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D5A19" w:rsidRDefault="007D5A1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3A294C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F37" w:rsidRPr="008E0223" w:rsidTr="0057421C">
        <w:trPr>
          <w:trHeight w:val="35"/>
        </w:trPr>
        <w:tc>
          <w:tcPr>
            <w:tcW w:w="568" w:type="dxa"/>
          </w:tcPr>
          <w:p w:rsidR="00337F37" w:rsidRPr="0010374F" w:rsidRDefault="00B3340B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224" w:type="dxa"/>
          </w:tcPr>
          <w:p w:rsidR="00337F37" w:rsidRPr="0010374F" w:rsidRDefault="003A294C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Lodówka medyczna do przechowywania leków,</w:t>
            </w:r>
            <w:r w:rsidR="00CB0A5E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 xml:space="preserve">sprężarkowa. Podświetlany termometr z zapisem wartości maks./min. Wbudowany w drzwi. Oświetlenie LED. Alarm otwartych drzwi. 3 szuflady z łożyskami wysuwane do 3/4 długości. Zamykana na zamek. Drzwi pełne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prawe.Front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z przezroczystego tworzywa sztucznego. Zakres temperatury +2st.C do +8 st. C.  Pojemność netto 29 litrów, brutto 43 litry. Wymiary: 58x42,2x45 cm.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3A294C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3A294C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18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7F37" w:rsidRPr="008E0223" w:rsidTr="0057421C">
        <w:trPr>
          <w:trHeight w:val="35"/>
        </w:trPr>
        <w:tc>
          <w:tcPr>
            <w:tcW w:w="568" w:type="dxa"/>
          </w:tcPr>
          <w:p w:rsidR="00337F37" w:rsidRPr="0010374F" w:rsidRDefault="00B3340B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224" w:type="dxa"/>
          </w:tcPr>
          <w:p w:rsidR="003A294C" w:rsidRPr="0010374F" w:rsidRDefault="003A294C" w:rsidP="003A294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wolnostojąca o pojemności netto 387 l Klasa efektywności energetycznej A+. Dominujący kolor: Biały. Wymiary :</w:t>
            </w:r>
          </w:p>
          <w:p w:rsidR="003A294C" w:rsidRPr="0010374F" w:rsidRDefault="003A294C" w:rsidP="003A294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 xml:space="preserve">185 x 59.5 x 66.8 cm. Zmiana kierunku otwierania drzwi. Sterowanie mechaniczne. Roczne zużycie energii do 150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kWh.Liczba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pojemników na warzywa-1, liczba półek- 5 .Rodzaj półek</w:t>
            </w:r>
          </w:p>
          <w:p w:rsidR="00337F37" w:rsidRPr="0010374F" w:rsidRDefault="003A294C" w:rsidP="003A294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-Szklane z obramowaniem. Rozmrażanie automatyczne.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37F37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337F37" w:rsidRPr="008E0223" w:rsidRDefault="00337F37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340B" w:rsidRPr="008E0223" w:rsidTr="0057421C">
        <w:trPr>
          <w:trHeight w:val="35"/>
        </w:trPr>
        <w:tc>
          <w:tcPr>
            <w:tcW w:w="568" w:type="dxa"/>
          </w:tcPr>
          <w:p w:rsidR="00B3340B" w:rsidRPr="0010374F" w:rsidRDefault="00876A7A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5224" w:type="dxa"/>
          </w:tcPr>
          <w:p w:rsidR="00B3340B" w:rsidRPr="0010374F" w:rsidRDefault="00876A7A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Chłodziarko zamrażarka laboratoryjna  o pojemności netto 117L/ brutto119 l ( chłodziarka 106 L,</w:t>
            </w:r>
            <w:r w:rsidR="00494ECB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 xml:space="preserve">zamrażarka 13 L),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wolnostojaca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. Wyposażona w 2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półki,plastikowe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kosze i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organizery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drzwi, drzwi pełne wyposażone w zamek, czynnik chłodniczy R600a. Zakres temp. Chłodziarki +2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st.C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- +10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st.C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. Zakres temp. Zamrażarki -18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st.C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.- -25st.C. Automatyczne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odszranianie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chłodziarki.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Odszranianie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zamrażarki- ręczne. Wyświetlacz cyfrowy,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zewnetrzny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>. Funkcja alarmu dźwiękowego, alarm temperatury, czujnik otwartych drzwi. Antybakteryjny uchwyt. Wymiary:540x600x860 mm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340B" w:rsidRPr="008E0223" w:rsidTr="0057421C">
        <w:trPr>
          <w:trHeight w:val="35"/>
        </w:trPr>
        <w:tc>
          <w:tcPr>
            <w:tcW w:w="568" w:type="dxa"/>
          </w:tcPr>
          <w:p w:rsidR="00B3340B" w:rsidRPr="0010374F" w:rsidRDefault="00876A7A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224" w:type="dxa"/>
          </w:tcPr>
          <w:p w:rsidR="00B3340B" w:rsidRPr="0010374F" w:rsidRDefault="00876A7A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 xml:space="preserve">Zamrażarka laboratoryjna, pełne drzwi z zamkiem, sygnalizator otwartych drzwi ,zakres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tempertury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-18 st. C do -25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st.C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. Wyświetlacz temperatury na panelu, alarm temperatury,1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półka,alarm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temperatury powietrza, kontroler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cyfrowy,zewnętrzny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>. Czujnik chłodniczy typ R600a. Typ tworzywa SRL 800.    Pojemność netto 35 litrów/ brutto 39 litrów . Kolor biały/zielony Wymiary: 480mm x 505 mm x 565 mm. Waga 18 kg. Głębokość otworu drzwi 905 mm.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876A7A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340B" w:rsidRPr="008E0223" w:rsidTr="0057421C">
        <w:trPr>
          <w:trHeight w:val="35"/>
        </w:trPr>
        <w:tc>
          <w:tcPr>
            <w:tcW w:w="568" w:type="dxa"/>
          </w:tcPr>
          <w:p w:rsidR="00B3340B" w:rsidRPr="0010374F" w:rsidRDefault="00876A7A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lastRenderedPageBreak/>
              <w:t>9</w:t>
            </w:r>
          </w:p>
        </w:tc>
        <w:tc>
          <w:tcPr>
            <w:tcW w:w="5224" w:type="dxa"/>
          </w:tcPr>
          <w:p w:rsidR="00B3340B" w:rsidRPr="0010374F" w:rsidRDefault="00F865B5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 xml:space="preserve">Chłodziarka farmaceutyczna z drzwiami pełnymi o pojemności 340    Zakres temperatur +2/+8 (C). Wyposażona w rejestrator temperatury, zamek z dwoma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kluczami,alarm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dźwiękowy i wizualny. </w:t>
            </w:r>
            <w:proofErr w:type="spellStart"/>
            <w:r w:rsidRPr="0010374F">
              <w:rPr>
                <w:rFonts w:cstheme="minorHAnsi"/>
                <w:sz w:val="18"/>
                <w:szCs w:val="18"/>
              </w:rPr>
              <w:t>Odszranianie</w:t>
            </w:r>
            <w:proofErr w:type="spellEnd"/>
            <w:r w:rsidRPr="0010374F">
              <w:rPr>
                <w:rFonts w:cstheme="minorHAnsi"/>
                <w:sz w:val="18"/>
                <w:szCs w:val="18"/>
              </w:rPr>
              <w:t xml:space="preserve"> automatyczne z funkcją wyłączenia. Chłodzenie wspomagane wentylatorem . Alarm braku zasilania, alarm otwartych drzwi.                  Wymiary: 1510x600x700 mm. Waga 79 kg.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F865B5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F865B5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3340B" w:rsidRPr="008E0223" w:rsidTr="0057421C">
        <w:trPr>
          <w:trHeight w:val="35"/>
        </w:trPr>
        <w:tc>
          <w:tcPr>
            <w:tcW w:w="568" w:type="dxa"/>
          </w:tcPr>
          <w:p w:rsidR="00B3340B" w:rsidRPr="0010374F" w:rsidRDefault="00876A7A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224" w:type="dxa"/>
          </w:tcPr>
          <w:p w:rsidR="00B3340B" w:rsidRPr="0010374F" w:rsidRDefault="00F865B5" w:rsidP="0057421C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farmaceutyczna z drzwiami pełnymi o pojemności 150 L                                       Zakres temperatur +2/+8 (C). Wyposażona w rejestrator temperatury, zamek z dwoma kluczami, zdalny alarm, karta SD wraz z oprogramowaniem.</w:t>
            </w:r>
            <w:r w:rsidR="00DA7E1D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>Wymiary (SXWXG) :600x835x600 mm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F865B5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340B" w:rsidRPr="00416274" w:rsidRDefault="00F865B5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B3340B" w:rsidRPr="008E0223" w:rsidRDefault="00B3340B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76A7A" w:rsidRPr="008E0223" w:rsidTr="0057421C">
        <w:trPr>
          <w:trHeight w:val="35"/>
        </w:trPr>
        <w:tc>
          <w:tcPr>
            <w:tcW w:w="568" w:type="dxa"/>
          </w:tcPr>
          <w:p w:rsidR="00876A7A" w:rsidRPr="0010374F" w:rsidRDefault="00876A7A" w:rsidP="001037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224" w:type="dxa"/>
          </w:tcPr>
          <w:p w:rsidR="00876A7A" w:rsidRPr="0010374F" w:rsidRDefault="00C90859" w:rsidP="007C7FA9">
            <w:pPr>
              <w:rPr>
                <w:rFonts w:cstheme="minorHAnsi"/>
                <w:sz w:val="18"/>
                <w:szCs w:val="18"/>
              </w:rPr>
            </w:pPr>
            <w:r w:rsidRPr="0010374F">
              <w:rPr>
                <w:rFonts w:cstheme="minorHAnsi"/>
                <w:sz w:val="18"/>
                <w:szCs w:val="18"/>
              </w:rPr>
              <w:t>Chłodziarka laboratoryjna - obudowa z blachy malowanej proszkowo na kolor szary z nadstawką grafitową, wnętrze ze stali nierdze</w:t>
            </w:r>
            <w:r w:rsidR="00806119" w:rsidRPr="0010374F">
              <w:rPr>
                <w:rFonts w:cstheme="minorHAnsi"/>
                <w:sz w:val="18"/>
                <w:szCs w:val="18"/>
              </w:rPr>
              <w:t>w</w:t>
            </w:r>
            <w:r w:rsidRPr="0010374F">
              <w:rPr>
                <w:rFonts w:cstheme="minorHAnsi"/>
                <w:sz w:val="18"/>
                <w:szCs w:val="18"/>
              </w:rPr>
              <w:t xml:space="preserve">nej 0H17 (DIN 1.4016), z wymuszonym obiegiem powietrza, pojemność 150 l, zakres temperatury od 0°C do +15°C, regulacja temperatury co 0,1°C,4,3" , dotykowy, kolorowy </w:t>
            </w:r>
            <w:r w:rsidR="00806119" w:rsidRPr="0010374F">
              <w:rPr>
                <w:rFonts w:cstheme="minorHAnsi"/>
                <w:sz w:val="18"/>
                <w:szCs w:val="18"/>
              </w:rPr>
              <w:t xml:space="preserve">wyświetlacz </w:t>
            </w:r>
            <w:r w:rsidRPr="0010374F">
              <w:rPr>
                <w:rFonts w:cstheme="minorHAnsi"/>
                <w:sz w:val="18"/>
                <w:szCs w:val="18"/>
              </w:rPr>
              <w:t>graficzny.</w:t>
            </w:r>
            <w:r w:rsidR="00806119" w:rsidRPr="0010374F">
              <w:rPr>
                <w:rFonts w:cstheme="minorHAnsi"/>
                <w:sz w:val="18"/>
                <w:szCs w:val="18"/>
              </w:rPr>
              <w:t xml:space="preserve"> </w:t>
            </w:r>
            <w:r w:rsidRPr="0010374F">
              <w:rPr>
                <w:rFonts w:cstheme="minorHAnsi"/>
                <w:sz w:val="18"/>
                <w:szCs w:val="18"/>
              </w:rPr>
              <w:t xml:space="preserve">Wymiary wewnętrzne komory (szer. x wys. x gł.) 520 x 660 x 420 mm, wymiary zewnętrzne (szer. x wys. </w:t>
            </w:r>
            <w:r w:rsidR="007C7FA9">
              <w:rPr>
                <w:rFonts w:cstheme="minorHAnsi"/>
                <w:sz w:val="18"/>
                <w:szCs w:val="18"/>
              </w:rPr>
              <w:t>x</w:t>
            </w:r>
            <w:r w:rsidRPr="0010374F">
              <w:rPr>
                <w:rFonts w:cstheme="minorHAnsi"/>
                <w:sz w:val="18"/>
                <w:szCs w:val="18"/>
              </w:rPr>
              <w:t xml:space="preserve"> gł.) 620 x 900 x 650 mm, 3 półki druciane INOX, regulowane położenie prowadnic, otwór do wprowadzania zewnętrznego czujnika f = 30 mm, pamięć wyników pomiarowych, zamknięcie na klucz, sygnalizacja otwartych drzwi, zewnętrzne </w:t>
            </w:r>
            <w:r w:rsidRPr="007C7FA9">
              <w:rPr>
                <w:rFonts w:cstheme="minorHAnsi"/>
                <w:b/>
                <w:sz w:val="18"/>
                <w:szCs w:val="18"/>
              </w:rPr>
              <w:t xml:space="preserve">drzwi </w:t>
            </w:r>
            <w:r w:rsidR="006C7726" w:rsidRPr="007C7FA9">
              <w:rPr>
                <w:rFonts w:cstheme="minorHAnsi"/>
                <w:b/>
                <w:sz w:val="18"/>
                <w:szCs w:val="18"/>
              </w:rPr>
              <w:t>pełne</w:t>
            </w:r>
            <w:r w:rsidRPr="0010374F">
              <w:rPr>
                <w:rFonts w:cstheme="minorHAnsi"/>
                <w:sz w:val="18"/>
                <w:szCs w:val="18"/>
              </w:rPr>
              <w:t>, oświetlenie wewnętrzne LED.</w:t>
            </w:r>
          </w:p>
        </w:tc>
        <w:tc>
          <w:tcPr>
            <w:tcW w:w="541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76A7A" w:rsidRPr="00416274" w:rsidRDefault="00C9085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16274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8" w:type="dxa"/>
          </w:tcPr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16DE" w:rsidRDefault="005B16DE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76A7A" w:rsidRPr="00416274" w:rsidRDefault="00C90859" w:rsidP="005742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627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181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6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0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8" w:type="dxa"/>
          </w:tcPr>
          <w:p w:rsidR="00876A7A" w:rsidRPr="008E0223" w:rsidRDefault="00876A7A" w:rsidP="005742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421C" w:rsidRPr="005B16DE" w:rsidTr="0057421C">
        <w:trPr>
          <w:trHeight w:val="130"/>
        </w:trPr>
        <w:tc>
          <w:tcPr>
            <w:tcW w:w="568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24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  <w:r w:rsidRPr="005B16DE">
              <w:rPr>
                <w:rFonts w:cstheme="minorHAnsi"/>
                <w:sz w:val="18"/>
                <w:szCs w:val="18"/>
              </w:rPr>
              <w:t xml:space="preserve">                                                          RAZEM</w:t>
            </w:r>
          </w:p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0" w:type="dxa"/>
            <w:gridSpan w:val="3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0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8" w:type="dxa"/>
          </w:tcPr>
          <w:p w:rsidR="0057421C" w:rsidRPr="005B16DE" w:rsidRDefault="0057421C" w:rsidP="0057421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A2BCD" w:rsidRPr="005B16DE" w:rsidRDefault="008A2BCD" w:rsidP="0057421C">
      <w:pPr>
        <w:rPr>
          <w:rFonts w:cstheme="minorHAnsi"/>
          <w:sz w:val="20"/>
          <w:szCs w:val="20"/>
        </w:rPr>
      </w:pPr>
    </w:p>
    <w:p w:rsidR="00B27F24" w:rsidRPr="005B16DE" w:rsidRDefault="00C90859" w:rsidP="00416274">
      <w:pPr>
        <w:suppressAutoHyphens/>
        <w:spacing w:after="0" w:line="240" w:lineRule="auto"/>
        <w:rPr>
          <w:rFonts w:cstheme="minorHAnsi"/>
          <w:bCs/>
          <w:i/>
          <w:sz w:val="16"/>
          <w:szCs w:val="16"/>
          <w:lang w:eastAsia="ar-SA"/>
        </w:rPr>
      </w:pPr>
      <w:r w:rsidRPr="005B16DE">
        <w:rPr>
          <w:rFonts w:cstheme="minorHAnsi"/>
        </w:rPr>
        <w:t>Słownie: …………………………………………………………………………………………………………………………………………………</w:t>
      </w:r>
    </w:p>
    <w:p w:rsidR="00416274" w:rsidRPr="005B16DE" w:rsidRDefault="00416274" w:rsidP="00416274">
      <w:pPr>
        <w:suppressAutoHyphens/>
        <w:spacing w:after="0" w:line="240" w:lineRule="auto"/>
        <w:rPr>
          <w:rFonts w:cstheme="minorHAnsi"/>
          <w:bCs/>
          <w:i/>
          <w:sz w:val="16"/>
          <w:szCs w:val="16"/>
          <w:lang w:eastAsia="ar-SA"/>
        </w:rPr>
      </w:pPr>
    </w:p>
    <w:p w:rsidR="00416274" w:rsidRDefault="0041627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27F24" w:rsidRDefault="00B27F2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27F24" w:rsidRDefault="00B27F2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27F24" w:rsidRDefault="00B27F2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27F24" w:rsidRDefault="00B27F2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B27F24" w:rsidRDefault="00B27F24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</w:p>
    <w:p w:rsidR="00416274" w:rsidRPr="000662D8" w:rsidRDefault="00806119" w:rsidP="00416274">
      <w:pPr>
        <w:suppressAutoHyphens/>
        <w:spacing w:after="0" w:line="240" w:lineRule="auto"/>
        <w:rPr>
          <w:rFonts w:ascii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6274" w:rsidRPr="000662D8">
        <w:rPr>
          <w:rFonts w:ascii="Times New Roman" w:hAnsi="Times New Roman"/>
          <w:bCs/>
          <w:i/>
          <w:sz w:val="16"/>
          <w:szCs w:val="16"/>
          <w:lang w:eastAsia="ar-SA"/>
        </w:rPr>
        <w:t>...........................................................................</w:t>
      </w:r>
    </w:p>
    <w:p w:rsidR="00416274" w:rsidRPr="000662D8" w:rsidRDefault="00806119" w:rsidP="00416274">
      <w:pPr>
        <w:suppressAutoHyphens/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6274"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podpis i pieczęć osoby uprawnionej/osób uprawnionych </w:t>
      </w:r>
    </w:p>
    <w:p w:rsidR="00416274" w:rsidRPr="000662D8" w:rsidRDefault="00806119" w:rsidP="00416274">
      <w:pPr>
        <w:suppressAutoHyphens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16274" w:rsidRPr="000662D8">
        <w:rPr>
          <w:rFonts w:ascii="Times New Roman" w:hAnsi="Times New Roman"/>
          <w:bCs/>
          <w:i/>
          <w:sz w:val="16"/>
          <w:szCs w:val="16"/>
          <w:lang w:eastAsia="ar-SA"/>
        </w:rPr>
        <w:t xml:space="preserve"> do reprezentowania Wykonawcy</w:t>
      </w:r>
    </w:p>
    <w:p w:rsidR="0057421C" w:rsidRDefault="0057421C" w:rsidP="00C90859">
      <w:pPr>
        <w:rPr>
          <w:rFonts w:ascii="Tahoma" w:hAnsi="Tahoma" w:cs="Tahoma"/>
          <w:sz w:val="20"/>
          <w:szCs w:val="20"/>
        </w:rPr>
      </w:pPr>
    </w:p>
    <w:sectPr w:rsidR="0057421C" w:rsidSect="00C3108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C89"/>
    <w:multiLevelType w:val="hybridMultilevel"/>
    <w:tmpl w:val="6DF24A58"/>
    <w:lvl w:ilvl="0" w:tplc="C3201E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3B94"/>
    <w:multiLevelType w:val="hybridMultilevel"/>
    <w:tmpl w:val="CFF44ECA"/>
    <w:lvl w:ilvl="0" w:tplc="CE762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F6B94"/>
    <w:multiLevelType w:val="hybridMultilevel"/>
    <w:tmpl w:val="0764CBD4"/>
    <w:lvl w:ilvl="0" w:tplc="0CA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>
    <w:useFELayout/>
  </w:compat>
  <w:rsids>
    <w:rsidRoot w:val="00C31089"/>
    <w:rsid w:val="00023F7E"/>
    <w:rsid w:val="0003000F"/>
    <w:rsid w:val="00051D2D"/>
    <w:rsid w:val="00054A4B"/>
    <w:rsid w:val="000617B0"/>
    <w:rsid w:val="000638D3"/>
    <w:rsid w:val="00065DF4"/>
    <w:rsid w:val="000820F8"/>
    <w:rsid w:val="00083E93"/>
    <w:rsid w:val="0008782E"/>
    <w:rsid w:val="0009060D"/>
    <w:rsid w:val="00090659"/>
    <w:rsid w:val="000D0C5A"/>
    <w:rsid w:val="000F68EC"/>
    <w:rsid w:val="0010374F"/>
    <w:rsid w:val="0011055C"/>
    <w:rsid w:val="001170E9"/>
    <w:rsid w:val="00127539"/>
    <w:rsid w:val="001277D6"/>
    <w:rsid w:val="001334F0"/>
    <w:rsid w:val="0017108B"/>
    <w:rsid w:val="00183EDB"/>
    <w:rsid w:val="0018550F"/>
    <w:rsid w:val="001A19D0"/>
    <w:rsid w:val="001B7702"/>
    <w:rsid w:val="001D7F5F"/>
    <w:rsid w:val="00231FE4"/>
    <w:rsid w:val="00232231"/>
    <w:rsid w:val="00244341"/>
    <w:rsid w:val="00245BB9"/>
    <w:rsid w:val="00251E47"/>
    <w:rsid w:val="00260044"/>
    <w:rsid w:val="002841F9"/>
    <w:rsid w:val="002913A2"/>
    <w:rsid w:val="002A25C2"/>
    <w:rsid w:val="002C71FA"/>
    <w:rsid w:val="002E4445"/>
    <w:rsid w:val="002E7603"/>
    <w:rsid w:val="002F1810"/>
    <w:rsid w:val="0030026C"/>
    <w:rsid w:val="00300893"/>
    <w:rsid w:val="00304172"/>
    <w:rsid w:val="00304EDE"/>
    <w:rsid w:val="00337105"/>
    <w:rsid w:val="00337622"/>
    <w:rsid w:val="00337F37"/>
    <w:rsid w:val="003818E2"/>
    <w:rsid w:val="00393E49"/>
    <w:rsid w:val="00394546"/>
    <w:rsid w:val="003A008E"/>
    <w:rsid w:val="003A294C"/>
    <w:rsid w:val="003A32FD"/>
    <w:rsid w:val="003B3F30"/>
    <w:rsid w:val="003D473C"/>
    <w:rsid w:val="003D5069"/>
    <w:rsid w:val="003D736F"/>
    <w:rsid w:val="00416274"/>
    <w:rsid w:val="00436F2B"/>
    <w:rsid w:val="00441130"/>
    <w:rsid w:val="00462982"/>
    <w:rsid w:val="00483452"/>
    <w:rsid w:val="00494ECB"/>
    <w:rsid w:val="004B175D"/>
    <w:rsid w:val="004B629E"/>
    <w:rsid w:val="004B7E4F"/>
    <w:rsid w:val="004C7BE9"/>
    <w:rsid w:val="004D6BED"/>
    <w:rsid w:val="004E6869"/>
    <w:rsid w:val="0051515E"/>
    <w:rsid w:val="0053717C"/>
    <w:rsid w:val="00571FA1"/>
    <w:rsid w:val="0057210C"/>
    <w:rsid w:val="0057421C"/>
    <w:rsid w:val="00587279"/>
    <w:rsid w:val="005A6EE3"/>
    <w:rsid w:val="005B16DE"/>
    <w:rsid w:val="005B20E1"/>
    <w:rsid w:val="005D7516"/>
    <w:rsid w:val="00612900"/>
    <w:rsid w:val="00631050"/>
    <w:rsid w:val="0063558D"/>
    <w:rsid w:val="00644ECE"/>
    <w:rsid w:val="0067754F"/>
    <w:rsid w:val="00680EE4"/>
    <w:rsid w:val="006A01DC"/>
    <w:rsid w:val="006C7726"/>
    <w:rsid w:val="00710264"/>
    <w:rsid w:val="00722567"/>
    <w:rsid w:val="00732DBB"/>
    <w:rsid w:val="007543D7"/>
    <w:rsid w:val="00781241"/>
    <w:rsid w:val="007C7FA9"/>
    <w:rsid w:val="007D5A19"/>
    <w:rsid w:val="007E192F"/>
    <w:rsid w:val="007E2E1D"/>
    <w:rsid w:val="007F4D7F"/>
    <w:rsid w:val="00806119"/>
    <w:rsid w:val="00825486"/>
    <w:rsid w:val="008378DC"/>
    <w:rsid w:val="00837CF5"/>
    <w:rsid w:val="00847BB9"/>
    <w:rsid w:val="00852D45"/>
    <w:rsid w:val="00856AC8"/>
    <w:rsid w:val="008744F9"/>
    <w:rsid w:val="00876A7A"/>
    <w:rsid w:val="00880FE6"/>
    <w:rsid w:val="00881241"/>
    <w:rsid w:val="00884EF6"/>
    <w:rsid w:val="00895C55"/>
    <w:rsid w:val="00895F37"/>
    <w:rsid w:val="008A2BCD"/>
    <w:rsid w:val="008B0E0E"/>
    <w:rsid w:val="008B6B82"/>
    <w:rsid w:val="008C31AF"/>
    <w:rsid w:val="008C51AB"/>
    <w:rsid w:val="008D1069"/>
    <w:rsid w:val="008E0223"/>
    <w:rsid w:val="008E3482"/>
    <w:rsid w:val="008F680D"/>
    <w:rsid w:val="00915896"/>
    <w:rsid w:val="00916335"/>
    <w:rsid w:val="00923F61"/>
    <w:rsid w:val="00943E8A"/>
    <w:rsid w:val="00980046"/>
    <w:rsid w:val="009B7168"/>
    <w:rsid w:val="009B79AC"/>
    <w:rsid w:val="009C6FE2"/>
    <w:rsid w:val="00A00FE0"/>
    <w:rsid w:val="00A80B17"/>
    <w:rsid w:val="00A811EF"/>
    <w:rsid w:val="00A82CF1"/>
    <w:rsid w:val="00AA3737"/>
    <w:rsid w:val="00AE7B5D"/>
    <w:rsid w:val="00AF1135"/>
    <w:rsid w:val="00AF2CFD"/>
    <w:rsid w:val="00AF64D3"/>
    <w:rsid w:val="00AF7981"/>
    <w:rsid w:val="00B03320"/>
    <w:rsid w:val="00B239F2"/>
    <w:rsid w:val="00B27F24"/>
    <w:rsid w:val="00B32CB0"/>
    <w:rsid w:val="00B3340B"/>
    <w:rsid w:val="00B61577"/>
    <w:rsid w:val="00B641CF"/>
    <w:rsid w:val="00B75CA4"/>
    <w:rsid w:val="00BA2E70"/>
    <w:rsid w:val="00C06143"/>
    <w:rsid w:val="00C31089"/>
    <w:rsid w:val="00C35128"/>
    <w:rsid w:val="00C722F7"/>
    <w:rsid w:val="00C90859"/>
    <w:rsid w:val="00CA74DB"/>
    <w:rsid w:val="00CB0A5E"/>
    <w:rsid w:val="00CB1922"/>
    <w:rsid w:val="00D07DDD"/>
    <w:rsid w:val="00D17176"/>
    <w:rsid w:val="00D470DC"/>
    <w:rsid w:val="00D55FA6"/>
    <w:rsid w:val="00D625AC"/>
    <w:rsid w:val="00D77D35"/>
    <w:rsid w:val="00D94335"/>
    <w:rsid w:val="00D95E72"/>
    <w:rsid w:val="00DA031D"/>
    <w:rsid w:val="00DA4193"/>
    <w:rsid w:val="00DA7E1D"/>
    <w:rsid w:val="00DD2624"/>
    <w:rsid w:val="00DD7C7C"/>
    <w:rsid w:val="00E000FF"/>
    <w:rsid w:val="00E1629B"/>
    <w:rsid w:val="00E20A73"/>
    <w:rsid w:val="00E2351B"/>
    <w:rsid w:val="00E25B6E"/>
    <w:rsid w:val="00E3226A"/>
    <w:rsid w:val="00E37DC9"/>
    <w:rsid w:val="00E470CA"/>
    <w:rsid w:val="00E47C9C"/>
    <w:rsid w:val="00E6485B"/>
    <w:rsid w:val="00E84E69"/>
    <w:rsid w:val="00E9015A"/>
    <w:rsid w:val="00ED6BF6"/>
    <w:rsid w:val="00EE05DA"/>
    <w:rsid w:val="00EE6385"/>
    <w:rsid w:val="00F015E9"/>
    <w:rsid w:val="00F170EC"/>
    <w:rsid w:val="00F37C5E"/>
    <w:rsid w:val="00F60B22"/>
    <w:rsid w:val="00F648E3"/>
    <w:rsid w:val="00F865B5"/>
    <w:rsid w:val="00FA75DD"/>
    <w:rsid w:val="00FB09C8"/>
    <w:rsid w:val="00FB5907"/>
    <w:rsid w:val="00FC29E3"/>
    <w:rsid w:val="00FC2B1D"/>
    <w:rsid w:val="00FC5191"/>
    <w:rsid w:val="00FF2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Paragraph1,BulletC,Numerowanie,List Paragraph,Akapit z listą BS,Kolorowa lista — akcent 11,Obiekt,Akapit z listą 1,Akapit z listą1"/>
    <w:basedOn w:val="Normalny"/>
    <w:link w:val="AkapitzlistZnak"/>
    <w:uiPriority w:val="34"/>
    <w:qFormat/>
    <w:rsid w:val="0008782E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"/>
    <w:basedOn w:val="Domylnaczcionkaakapitu"/>
    <w:link w:val="Akapitzlist"/>
    <w:uiPriority w:val="34"/>
    <w:locked/>
    <w:rsid w:val="007E2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6E2-83DA-44A0-8F47-23CE852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18</cp:revision>
  <cp:lastPrinted>2019-12-18T07:42:00Z</cp:lastPrinted>
  <dcterms:created xsi:type="dcterms:W3CDTF">2019-03-11T13:40:00Z</dcterms:created>
  <dcterms:modified xsi:type="dcterms:W3CDTF">2019-12-18T07:46:00Z</dcterms:modified>
</cp:coreProperties>
</file>