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FD30A2" w:rsidRPr="008B5182" w14:paraId="2CF0B4A7" w14:textId="77777777" w:rsidTr="000539FD">
        <w:trPr>
          <w:cantSplit/>
          <w:trHeight w:val="709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E0BFA5" w14:textId="7A4ED227" w:rsidR="00FD30A2" w:rsidRPr="008B5182" w:rsidRDefault="00FD64C8" w:rsidP="00992D76">
            <w:pPr>
              <w:snapToGrid w:val="0"/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C9544C" w14:textId="21595423" w:rsidR="00D37669" w:rsidRPr="008B5182" w:rsidRDefault="00F548C9" w:rsidP="00D37669">
            <w:pPr>
              <w:spacing w:line="288" w:lineRule="au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51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</w:t>
            </w:r>
            <w:r w:rsidR="00986767" w:rsidRPr="004A09B2">
              <w:rPr>
                <w:rFonts w:ascii="Tahoma" w:hAnsi="Tahoma" w:cs="Tahoma"/>
                <w:color w:val="EE0000"/>
                <w:sz w:val="18"/>
                <w:szCs w:val="18"/>
              </w:rPr>
              <w:t xml:space="preserve">Zmodyfikowany </w:t>
            </w:r>
            <w:r w:rsidR="00986767">
              <w:rPr>
                <w:rFonts w:ascii="Tahoma" w:hAnsi="Tahoma" w:cs="Tahoma"/>
                <w:color w:val="EE0000"/>
                <w:sz w:val="18"/>
                <w:szCs w:val="18"/>
              </w:rPr>
              <w:t>z</w:t>
            </w:r>
            <w:r w:rsidR="00D37669" w:rsidRPr="008B5182">
              <w:rPr>
                <w:rFonts w:ascii="Tahoma" w:hAnsi="Tahoma" w:cs="Tahoma"/>
                <w:color w:val="000000"/>
                <w:sz w:val="18"/>
                <w:szCs w:val="18"/>
              </w:rPr>
              <w:t xml:space="preserve">ałącznik nr </w:t>
            </w:r>
            <w:r w:rsidR="00930F5D" w:rsidRPr="008B5182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  <w:p w14:paraId="6B23D068" w14:textId="2485E5B0" w:rsidR="00D37669" w:rsidRPr="008B5182" w:rsidRDefault="00D37669" w:rsidP="00D37669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color w:val="000000"/>
                <w:sz w:val="18"/>
                <w:szCs w:val="18"/>
              </w:rPr>
              <w:t>WYMAGANE PARAMETRY TECHNICZNO – UŻYTKOWE</w:t>
            </w:r>
            <w:r w:rsidRPr="008B5182">
              <w:rPr>
                <w:rFonts w:ascii="Tahoma" w:hAnsi="Tahoma" w:cs="Tahoma"/>
                <w:sz w:val="18"/>
                <w:szCs w:val="18"/>
              </w:rPr>
              <w:br/>
              <w:t>OFEROWANEGO PRZEDMIOTU ZAMÓWIENIA</w:t>
            </w:r>
          </w:p>
          <w:p w14:paraId="57FF11D4" w14:textId="4943AC7D" w:rsidR="00D37669" w:rsidRPr="008B5182" w:rsidRDefault="00D37669" w:rsidP="00D37669">
            <w:pPr>
              <w:spacing w:line="288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B518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POMPY INFUZYJNE </w:t>
            </w:r>
            <w:r w:rsidR="00930F5D" w:rsidRPr="008B5182">
              <w:rPr>
                <w:rFonts w:ascii="Tahoma" w:hAnsi="Tahoma" w:cs="Tahoma"/>
                <w:b/>
                <w:bCs/>
                <w:sz w:val="18"/>
                <w:szCs w:val="18"/>
              </w:rPr>
              <w:t>OBJĘTOŚCIOWE –</w:t>
            </w:r>
            <w:r w:rsidRPr="008B518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10 szt.</w:t>
            </w:r>
          </w:p>
          <w:p w14:paraId="5024E060" w14:textId="621B1743" w:rsidR="00FD30A2" w:rsidRPr="008B5182" w:rsidRDefault="00FD30A2" w:rsidP="00992D76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7669" w:rsidRPr="008B5182" w14:paraId="1C78E046" w14:textId="77777777" w:rsidTr="000539FD">
        <w:trPr>
          <w:cantSplit/>
          <w:trHeight w:val="709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F78AD19" w14:textId="0F3A8D1D" w:rsidR="00D37669" w:rsidRPr="008B5182" w:rsidRDefault="00D37669" w:rsidP="00D37669">
            <w:pPr>
              <w:snapToGrid w:val="0"/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shd w:val="clear" w:color="auto" w:fill="auto"/>
          </w:tcPr>
          <w:p w14:paraId="544445E9" w14:textId="77777777" w:rsidR="00D37669" w:rsidRPr="008B5182" w:rsidRDefault="00D37669" w:rsidP="00D3766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6885BE" w14:textId="77777777" w:rsidR="00D37669" w:rsidRPr="008B5182" w:rsidRDefault="00D37669" w:rsidP="00D3766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>Opis parametru, funkcji</w:t>
            </w:r>
          </w:p>
          <w:p w14:paraId="039594C4" w14:textId="5A3AD435" w:rsidR="00F548C9" w:rsidRPr="008B5182" w:rsidRDefault="00F548C9" w:rsidP="00D37669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7669" w:rsidRPr="008B5182" w14:paraId="253C4F82" w14:textId="77777777" w:rsidTr="000539FD">
        <w:trPr>
          <w:cantSplit/>
          <w:trHeight w:val="709"/>
          <w:jc w:val="center"/>
        </w:trPr>
        <w:tc>
          <w:tcPr>
            <w:tcW w:w="851" w:type="dxa"/>
            <w:vAlign w:val="center"/>
          </w:tcPr>
          <w:p w14:paraId="17F9093C" w14:textId="4126531C" w:rsidR="00D37669" w:rsidRPr="008B5182" w:rsidRDefault="00D37669" w:rsidP="00435E95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47E400C3" w14:textId="4112159D" w:rsidR="00D37669" w:rsidRPr="008B5182" w:rsidRDefault="00D37669" w:rsidP="00D37669">
            <w:pPr>
              <w:widowControl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 xml:space="preserve">Pompa objętościowa przeznaczona do podawania pacjentom dorosłym, dzieciom i noworodkom w przerywanych lub ciągłych infuzjach płynów pozajelitowych (takich jak roztwory, roztwory koloidalne, żywienie pozajelitowe), leków (takich jak leki rozcieńczone, chemioterapia czy leki znieczulające), krwi i preparatów krwiopochodnych </w:t>
            </w:r>
          </w:p>
        </w:tc>
      </w:tr>
      <w:tr w:rsidR="00D37669" w:rsidRPr="008B5182" w14:paraId="14986649" w14:textId="77777777" w:rsidTr="000539FD">
        <w:trPr>
          <w:cantSplit/>
          <w:trHeight w:val="333"/>
          <w:jc w:val="center"/>
        </w:trPr>
        <w:tc>
          <w:tcPr>
            <w:tcW w:w="851" w:type="dxa"/>
            <w:vAlign w:val="center"/>
          </w:tcPr>
          <w:p w14:paraId="15C2F2B7" w14:textId="764F3FD2" w:rsidR="00D37669" w:rsidRPr="008B5182" w:rsidRDefault="00D37669" w:rsidP="00435E95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6F8F4C47" w14:textId="71F98037" w:rsidR="00D37669" w:rsidRPr="008B5182" w:rsidRDefault="00D37669" w:rsidP="00D3766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>Z</w:t>
            </w:r>
            <w:r w:rsidR="00E762A9" w:rsidRPr="008B5182">
              <w:rPr>
                <w:rFonts w:ascii="Tahoma" w:hAnsi="Tahoma" w:cs="Tahoma"/>
                <w:sz w:val="18"/>
                <w:szCs w:val="18"/>
              </w:rPr>
              <w:t>a</w:t>
            </w:r>
            <w:r w:rsidRPr="008B5182">
              <w:rPr>
                <w:rFonts w:ascii="Tahoma" w:hAnsi="Tahoma" w:cs="Tahoma"/>
                <w:sz w:val="18"/>
                <w:szCs w:val="18"/>
              </w:rPr>
              <w:t xml:space="preserve">kres </w:t>
            </w:r>
            <w:r w:rsidR="00F86190" w:rsidRPr="008B5182">
              <w:rPr>
                <w:rFonts w:ascii="Tahoma" w:hAnsi="Tahoma" w:cs="Tahoma"/>
                <w:sz w:val="18"/>
                <w:szCs w:val="18"/>
              </w:rPr>
              <w:t>szybkości min.</w:t>
            </w:r>
            <w:r w:rsidRPr="008B5182">
              <w:rPr>
                <w:rFonts w:ascii="Tahoma" w:hAnsi="Tahoma" w:cs="Tahoma"/>
                <w:sz w:val="18"/>
                <w:szCs w:val="18"/>
              </w:rPr>
              <w:t xml:space="preserve"> 0,1–1500 ml/h. </w:t>
            </w:r>
          </w:p>
        </w:tc>
      </w:tr>
      <w:tr w:rsidR="00D37669" w:rsidRPr="008B5182" w14:paraId="50B9B077" w14:textId="77777777" w:rsidTr="000539FD">
        <w:trPr>
          <w:cantSplit/>
          <w:trHeight w:val="450"/>
          <w:jc w:val="center"/>
        </w:trPr>
        <w:tc>
          <w:tcPr>
            <w:tcW w:w="851" w:type="dxa"/>
            <w:vAlign w:val="center"/>
          </w:tcPr>
          <w:p w14:paraId="3598B67E" w14:textId="595055A5" w:rsidR="00D37669" w:rsidRPr="008B5182" w:rsidRDefault="00D37669" w:rsidP="00435E95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3E9DCD8D" w14:textId="77777777" w:rsidR="00D37669" w:rsidRPr="008B5182" w:rsidRDefault="00D37669" w:rsidP="00D37669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>Dokładność szybkości infuzji ± 5%.</w:t>
            </w:r>
          </w:p>
        </w:tc>
      </w:tr>
      <w:tr w:rsidR="00D37669" w:rsidRPr="008B5182" w14:paraId="1555918A" w14:textId="77777777" w:rsidTr="000539FD">
        <w:trPr>
          <w:cantSplit/>
          <w:trHeight w:val="495"/>
          <w:jc w:val="center"/>
        </w:trPr>
        <w:tc>
          <w:tcPr>
            <w:tcW w:w="851" w:type="dxa"/>
            <w:vAlign w:val="center"/>
          </w:tcPr>
          <w:p w14:paraId="7EB3A369" w14:textId="79F28C9B" w:rsidR="00D37669" w:rsidRPr="008B5182" w:rsidRDefault="00D37669" w:rsidP="00435E95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71AA35F1" w14:textId="3F1C5BB5" w:rsidR="00D37669" w:rsidRPr="008B5182" w:rsidRDefault="00D37669" w:rsidP="00D37669">
            <w:pPr>
              <w:widowControl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5182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Funkcja programowania objętości do </w:t>
            </w:r>
            <w:r w:rsidR="00F86190" w:rsidRPr="008B5182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podania w</w:t>
            </w:r>
            <w:r w:rsidRPr="008B5182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F86190" w:rsidRPr="008B5182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zakresie 0</w:t>
            </w:r>
            <w:r w:rsidRPr="008B5182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,1- 9999 ml</w:t>
            </w:r>
          </w:p>
        </w:tc>
      </w:tr>
      <w:tr w:rsidR="00D37669" w:rsidRPr="008B5182" w14:paraId="628CC4D3" w14:textId="77777777" w:rsidTr="000539FD">
        <w:trPr>
          <w:cantSplit/>
          <w:trHeight w:val="432"/>
          <w:jc w:val="center"/>
        </w:trPr>
        <w:tc>
          <w:tcPr>
            <w:tcW w:w="851" w:type="dxa"/>
            <w:vAlign w:val="center"/>
          </w:tcPr>
          <w:p w14:paraId="0EBD2A43" w14:textId="69090533" w:rsidR="00D37669" w:rsidRPr="008B5182" w:rsidRDefault="00D37669" w:rsidP="00435E95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6EDBFF77" w14:textId="5D48457B" w:rsidR="00D37669" w:rsidRPr="008B5182" w:rsidRDefault="00D37669" w:rsidP="00D3766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 xml:space="preserve">Czas infuzji: 0h01min – 168h00min. </w:t>
            </w:r>
          </w:p>
        </w:tc>
      </w:tr>
      <w:tr w:rsidR="00D37669" w:rsidRPr="008B5182" w14:paraId="4A27429F" w14:textId="77777777" w:rsidTr="000539FD">
        <w:trPr>
          <w:cantSplit/>
          <w:trHeight w:val="1569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4D67CFEF" w14:textId="1A196F23" w:rsidR="00D37669" w:rsidRPr="008B5182" w:rsidRDefault="00D37669" w:rsidP="00435E95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22A0D247" w14:textId="77777777" w:rsidR="00D37669" w:rsidRPr="008B5182" w:rsidRDefault="00D37669" w:rsidP="00D3766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 xml:space="preserve">Tryby infuzji </w:t>
            </w:r>
          </w:p>
          <w:p w14:paraId="662E695D" w14:textId="4D831976" w:rsidR="00354C98" w:rsidRPr="008B5182" w:rsidRDefault="00354C98" w:rsidP="00D3766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>- o</w:t>
            </w:r>
            <w:r w:rsidR="00D37669" w:rsidRPr="008B5182">
              <w:rPr>
                <w:rFonts w:ascii="Tahoma" w:hAnsi="Tahoma" w:cs="Tahoma"/>
                <w:sz w:val="18"/>
                <w:szCs w:val="18"/>
              </w:rPr>
              <w:t>bjętość / czas /</w:t>
            </w:r>
            <w:r w:rsidRPr="008B5182">
              <w:rPr>
                <w:rFonts w:ascii="Tahoma" w:hAnsi="Tahoma" w:cs="Tahoma"/>
                <w:sz w:val="18"/>
                <w:szCs w:val="18"/>
              </w:rPr>
              <w:t>prędkość</w:t>
            </w:r>
          </w:p>
          <w:p w14:paraId="03D039F9" w14:textId="764BCB37" w:rsidR="00D37669" w:rsidRPr="008B5182" w:rsidRDefault="00354C98" w:rsidP="00D3766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D37669" w:rsidRPr="008B5182">
              <w:rPr>
                <w:rFonts w:ascii="Tahoma" w:hAnsi="Tahoma" w:cs="Tahoma"/>
                <w:sz w:val="18"/>
                <w:szCs w:val="18"/>
              </w:rPr>
              <w:t>objętość / czas</w:t>
            </w:r>
          </w:p>
          <w:p w14:paraId="104EA7E9" w14:textId="27878A97" w:rsidR="00354C98" w:rsidRPr="008B5182" w:rsidRDefault="00354C98" w:rsidP="00D3766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>- objętość / prędkość</w:t>
            </w:r>
          </w:p>
          <w:p w14:paraId="664CC119" w14:textId="4727A702" w:rsidR="00D37669" w:rsidRPr="008B5182" w:rsidRDefault="00354C98" w:rsidP="00D3766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>- n</w:t>
            </w:r>
            <w:r w:rsidR="00D37669" w:rsidRPr="008B5182">
              <w:rPr>
                <w:rFonts w:ascii="Tahoma" w:hAnsi="Tahoma" w:cs="Tahoma"/>
                <w:sz w:val="18"/>
                <w:szCs w:val="18"/>
              </w:rPr>
              <w:t>arastająco</w:t>
            </w:r>
            <w:r w:rsidRPr="008B518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37669" w:rsidRPr="008B5182">
              <w:rPr>
                <w:rFonts w:ascii="Tahoma" w:hAnsi="Tahoma" w:cs="Tahoma"/>
                <w:sz w:val="18"/>
                <w:szCs w:val="18"/>
              </w:rPr>
              <w:t>/</w:t>
            </w:r>
            <w:r w:rsidRPr="008B518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37669" w:rsidRPr="008B5182">
              <w:rPr>
                <w:rFonts w:ascii="Tahoma" w:hAnsi="Tahoma" w:cs="Tahoma"/>
                <w:sz w:val="18"/>
                <w:szCs w:val="18"/>
              </w:rPr>
              <w:t xml:space="preserve">opadający </w:t>
            </w:r>
          </w:p>
          <w:p w14:paraId="03935418" w14:textId="5121F3B8" w:rsidR="00D37669" w:rsidRPr="008B5182" w:rsidRDefault="00354C98" w:rsidP="00435E95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>- sekwencyjny</w:t>
            </w:r>
            <w:r w:rsidR="00D37669" w:rsidRPr="008B518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D37669" w:rsidRPr="008B5182" w14:paraId="0114CCCF" w14:textId="77777777" w:rsidTr="000539FD">
        <w:trPr>
          <w:cantSplit/>
          <w:trHeight w:val="709"/>
          <w:jc w:val="center"/>
        </w:trPr>
        <w:tc>
          <w:tcPr>
            <w:tcW w:w="851" w:type="dxa"/>
            <w:vAlign w:val="center"/>
          </w:tcPr>
          <w:p w14:paraId="4459E8F2" w14:textId="5CC963FC" w:rsidR="00D37669" w:rsidRPr="008B5182" w:rsidRDefault="00D37669" w:rsidP="00435E95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484A76EA" w14:textId="77777777" w:rsidR="00D37669" w:rsidRPr="008B5182" w:rsidRDefault="00D37669" w:rsidP="00D3766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 xml:space="preserve">Bolus </w:t>
            </w:r>
          </w:p>
          <w:p w14:paraId="6BC0C82C" w14:textId="1D6DE64C" w:rsidR="00D37669" w:rsidRPr="008B5182" w:rsidRDefault="00D37669" w:rsidP="00D3766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 xml:space="preserve">- bolus bezpośredni: szybkość: 50–1500 ml/h </w:t>
            </w:r>
          </w:p>
          <w:p w14:paraId="5DCC1FAB" w14:textId="6314D7D4" w:rsidR="00D37669" w:rsidRPr="008B5182" w:rsidRDefault="00D37669" w:rsidP="00D3766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 xml:space="preserve">- bolus programowany i dawka nasycająca: </w:t>
            </w:r>
          </w:p>
          <w:p w14:paraId="7AE7BB4F" w14:textId="77777777" w:rsidR="00D37669" w:rsidRPr="008B5182" w:rsidRDefault="00D37669" w:rsidP="00D3766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 xml:space="preserve">• Objętość: 0,1–1000 ml / 1 s - 24 h </w:t>
            </w:r>
          </w:p>
          <w:p w14:paraId="2709BDE3" w14:textId="07418F1C" w:rsidR="00435E95" w:rsidRPr="008B5182" w:rsidRDefault="00D37669" w:rsidP="000A1B8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>• Dawka: 0,01–9999 jednostek dawki / 1 s - 24 h</w:t>
            </w:r>
          </w:p>
        </w:tc>
      </w:tr>
      <w:tr w:rsidR="00D37669" w:rsidRPr="008B5182" w14:paraId="7AD7CAED" w14:textId="77777777" w:rsidTr="000539FD">
        <w:trPr>
          <w:cantSplit/>
          <w:trHeight w:val="567"/>
          <w:jc w:val="center"/>
        </w:trPr>
        <w:tc>
          <w:tcPr>
            <w:tcW w:w="851" w:type="dxa"/>
            <w:vAlign w:val="center"/>
          </w:tcPr>
          <w:p w14:paraId="20729447" w14:textId="350DA552" w:rsidR="00D37669" w:rsidRPr="008B5182" w:rsidRDefault="00D37669" w:rsidP="00435E95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69D7F3A7" w14:textId="791BD007" w:rsidR="00D37669" w:rsidRPr="008B5182" w:rsidRDefault="00D37669" w:rsidP="000A1B84">
            <w:pPr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5182">
              <w:rPr>
                <w:rFonts w:ascii="Tahoma" w:eastAsia="Batang" w:hAnsi="Tahoma" w:cs="Tahoma"/>
                <w:sz w:val="18"/>
                <w:szCs w:val="18"/>
              </w:rPr>
              <w:t xml:space="preserve">Funkcja </w:t>
            </w:r>
            <w:r w:rsidR="00F86190" w:rsidRPr="008B5182">
              <w:rPr>
                <w:rFonts w:ascii="Tahoma" w:eastAsia="Batang" w:hAnsi="Tahoma" w:cs="Tahoma"/>
                <w:sz w:val="18"/>
                <w:szCs w:val="18"/>
              </w:rPr>
              <w:t>KVO w</w:t>
            </w:r>
            <w:r w:rsidRPr="008B5182">
              <w:rPr>
                <w:rFonts w:ascii="Tahoma" w:eastAsia="Batang" w:hAnsi="Tahoma" w:cs="Tahoma"/>
                <w:sz w:val="18"/>
                <w:szCs w:val="18"/>
              </w:rPr>
              <w:t xml:space="preserve"> zakresie od 1-20 ml/h</w:t>
            </w:r>
          </w:p>
        </w:tc>
      </w:tr>
      <w:tr w:rsidR="00D37669" w:rsidRPr="008B5182" w14:paraId="66F2E904" w14:textId="77777777" w:rsidTr="000539FD">
        <w:trPr>
          <w:cantSplit/>
          <w:trHeight w:val="709"/>
          <w:jc w:val="center"/>
        </w:trPr>
        <w:tc>
          <w:tcPr>
            <w:tcW w:w="851" w:type="dxa"/>
            <w:vAlign w:val="center"/>
          </w:tcPr>
          <w:p w14:paraId="4390ECD2" w14:textId="678C0E68" w:rsidR="00D37669" w:rsidRPr="008B5182" w:rsidRDefault="00D37669" w:rsidP="00435E95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2B06F490" w14:textId="56ABF28E" w:rsidR="00D37669" w:rsidRPr="008B5182" w:rsidRDefault="00D37669" w:rsidP="00C645FC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 xml:space="preserve">Pauza </w:t>
            </w:r>
            <w:r w:rsidR="00C645FC" w:rsidRPr="008B5182">
              <w:rPr>
                <w:rFonts w:ascii="Tahoma" w:hAnsi="Tahoma" w:cs="Tahoma"/>
                <w:sz w:val="18"/>
                <w:szCs w:val="18"/>
              </w:rPr>
              <w:t>p</w:t>
            </w:r>
            <w:r w:rsidRPr="008B5182">
              <w:rPr>
                <w:rFonts w:ascii="Tahoma" w:hAnsi="Tahoma" w:cs="Tahoma"/>
                <w:sz w:val="18"/>
                <w:szCs w:val="18"/>
              </w:rPr>
              <w:t>rogramowalna w zakresie od 1 minuty do 24 godzin</w:t>
            </w:r>
            <w:r w:rsidR="00FD64C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D64C8" w:rsidRPr="00FD64C8">
              <w:rPr>
                <w:rFonts w:ascii="Tahoma" w:hAnsi="Tahoma" w:cs="Tahoma"/>
                <w:color w:val="EE0000"/>
                <w:sz w:val="18"/>
                <w:szCs w:val="18"/>
                <w:highlight w:val="yellow"/>
              </w:rPr>
              <w:t>lub w zakresie do 23:59</w:t>
            </w:r>
            <w:r w:rsidRPr="008B5182">
              <w:rPr>
                <w:rFonts w:ascii="Tahoma" w:hAnsi="Tahoma" w:cs="Tahoma"/>
                <w:sz w:val="18"/>
                <w:szCs w:val="18"/>
              </w:rPr>
              <w:t>; regulacja skokowa co 1 minutę.</w:t>
            </w:r>
          </w:p>
        </w:tc>
      </w:tr>
      <w:tr w:rsidR="00D37669" w:rsidRPr="008B5182" w14:paraId="3DBEEB49" w14:textId="77777777" w:rsidTr="000539FD">
        <w:trPr>
          <w:cantSplit/>
          <w:trHeight w:val="407"/>
          <w:jc w:val="center"/>
        </w:trPr>
        <w:tc>
          <w:tcPr>
            <w:tcW w:w="851" w:type="dxa"/>
            <w:vAlign w:val="center"/>
          </w:tcPr>
          <w:p w14:paraId="43607402" w14:textId="5656475C" w:rsidR="00D37669" w:rsidRPr="008B5182" w:rsidRDefault="00D37669" w:rsidP="00435E95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664F434C" w14:textId="42B2246C" w:rsidR="00D37669" w:rsidRPr="008B5182" w:rsidRDefault="00D37669" w:rsidP="00D3766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>Klawiatura symboliczna</w:t>
            </w:r>
            <w:r w:rsidR="00FD64C8" w:rsidRPr="00FD64C8">
              <w:rPr>
                <w:rFonts w:ascii="Tahoma" w:hAnsi="Tahoma" w:cs="Tahoma"/>
                <w:color w:val="EE0000"/>
                <w:sz w:val="18"/>
                <w:szCs w:val="18"/>
              </w:rPr>
              <w:t xml:space="preserve"> </w:t>
            </w:r>
            <w:r w:rsidR="00FD64C8" w:rsidRPr="00FD64C8">
              <w:rPr>
                <w:rFonts w:ascii="Tahoma" w:hAnsi="Tahoma" w:cs="Tahoma"/>
                <w:color w:val="EE0000"/>
                <w:sz w:val="18"/>
                <w:szCs w:val="18"/>
                <w:highlight w:val="yellow"/>
              </w:rPr>
              <w:t>i/lub alfanumeryczna</w:t>
            </w:r>
            <w:r w:rsidRPr="00FD64C8">
              <w:rPr>
                <w:rFonts w:ascii="Tahoma" w:hAnsi="Tahoma" w:cs="Tahoma"/>
                <w:color w:val="EE0000"/>
                <w:sz w:val="18"/>
                <w:szCs w:val="18"/>
              </w:rPr>
              <w:t xml:space="preserve"> </w:t>
            </w:r>
            <w:r w:rsidRPr="008B5182">
              <w:rPr>
                <w:rFonts w:ascii="Tahoma" w:hAnsi="Tahoma" w:cs="Tahoma"/>
                <w:sz w:val="18"/>
                <w:szCs w:val="18"/>
              </w:rPr>
              <w:t xml:space="preserve">do wprowadzania wartości parametrów infuzji </w:t>
            </w:r>
          </w:p>
        </w:tc>
      </w:tr>
      <w:tr w:rsidR="00D37669" w:rsidRPr="008B5182" w14:paraId="25B11D68" w14:textId="77777777" w:rsidTr="000539FD">
        <w:trPr>
          <w:cantSplit/>
          <w:trHeight w:val="117"/>
          <w:jc w:val="center"/>
        </w:trPr>
        <w:tc>
          <w:tcPr>
            <w:tcW w:w="851" w:type="dxa"/>
            <w:vAlign w:val="center"/>
          </w:tcPr>
          <w:p w14:paraId="60551F51" w14:textId="5C783084" w:rsidR="00D37669" w:rsidRPr="008B5182" w:rsidRDefault="00D37669" w:rsidP="00435E95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14:paraId="470384C2" w14:textId="028F8C78" w:rsidR="00D37669" w:rsidRPr="008B5182" w:rsidRDefault="00D37669" w:rsidP="004D4090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>Bolus podawany na żądanie, w dowolnym momencie infuzji.</w:t>
            </w:r>
          </w:p>
        </w:tc>
      </w:tr>
      <w:tr w:rsidR="00D37669" w:rsidRPr="008B5182" w14:paraId="2A934515" w14:textId="77777777" w:rsidTr="000539FD">
        <w:trPr>
          <w:cantSplit/>
          <w:trHeight w:val="418"/>
          <w:jc w:val="center"/>
        </w:trPr>
        <w:tc>
          <w:tcPr>
            <w:tcW w:w="851" w:type="dxa"/>
            <w:vAlign w:val="center"/>
          </w:tcPr>
          <w:p w14:paraId="16C1DC26" w14:textId="739F8B94" w:rsidR="00D37669" w:rsidRPr="008B5182" w:rsidRDefault="00D37669" w:rsidP="00435E95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14:paraId="51C9F643" w14:textId="0F0150FC" w:rsidR="00D37669" w:rsidRPr="008B5182" w:rsidRDefault="00D37669" w:rsidP="00D3766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 xml:space="preserve">System antybolusowy </w:t>
            </w:r>
          </w:p>
        </w:tc>
      </w:tr>
      <w:tr w:rsidR="00D37669" w:rsidRPr="008B5182" w14:paraId="321A5BF6" w14:textId="77777777" w:rsidTr="000539FD">
        <w:trPr>
          <w:cantSplit/>
          <w:trHeight w:val="7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6ECDF4AB" w14:textId="76485ABD" w:rsidR="00D37669" w:rsidRPr="008B5182" w:rsidRDefault="00D37669" w:rsidP="00435E95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14:paraId="5D613487" w14:textId="2E336718" w:rsidR="00D37669" w:rsidRPr="008B5182" w:rsidRDefault="00D37669" w:rsidP="00D3766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B5182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Ciśnienie okluzji programowane w zakresie min.75 – 750 mmHg</w:t>
            </w:r>
          </w:p>
        </w:tc>
      </w:tr>
      <w:tr w:rsidR="00D37669" w:rsidRPr="008B5182" w14:paraId="5472FE21" w14:textId="77777777" w:rsidTr="000539FD">
        <w:trPr>
          <w:cantSplit/>
          <w:trHeight w:val="70"/>
          <w:jc w:val="center"/>
        </w:trPr>
        <w:tc>
          <w:tcPr>
            <w:tcW w:w="851" w:type="dxa"/>
            <w:vAlign w:val="center"/>
          </w:tcPr>
          <w:p w14:paraId="3846B7F9" w14:textId="078127EF" w:rsidR="00D37669" w:rsidRPr="008B5182" w:rsidRDefault="00D37669" w:rsidP="00435E95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14:paraId="0C0CA081" w14:textId="77777777" w:rsidR="00D37669" w:rsidRPr="008B5182" w:rsidRDefault="00D37669" w:rsidP="00D3766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 xml:space="preserve">Zmiana progu ciśnienia okluzji bez przerywania infuzji. </w:t>
            </w:r>
          </w:p>
        </w:tc>
      </w:tr>
      <w:tr w:rsidR="00D37669" w:rsidRPr="008B5182" w14:paraId="5DC7072F" w14:textId="77777777" w:rsidTr="000539FD">
        <w:trPr>
          <w:cantSplit/>
          <w:trHeight w:val="7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5A8C126D" w14:textId="07210789" w:rsidR="00D37669" w:rsidRPr="008B5182" w:rsidRDefault="00D37669" w:rsidP="00435E95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auto"/>
          </w:tcPr>
          <w:p w14:paraId="4EF5FC92" w14:textId="1D36BC8D" w:rsidR="00D37669" w:rsidRPr="008B5182" w:rsidRDefault="00D37669" w:rsidP="004A0382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>Monitorowanie ciśnienia</w:t>
            </w:r>
            <w:r w:rsidR="00C645FC" w:rsidRPr="008B5182">
              <w:rPr>
                <w:rFonts w:ascii="Tahoma" w:hAnsi="Tahoma" w:cs="Tahoma"/>
                <w:sz w:val="18"/>
                <w:szCs w:val="18"/>
              </w:rPr>
              <w:t>:</w:t>
            </w:r>
            <w:r w:rsidR="004A0382" w:rsidRPr="008B5182">
              <w:rPr>
                <w:rFonts w:ascii="Tahoma" w:hAnsi="Tahoma" w:cs="Tahoma"/>
                <w:sz w:val="18"/>
                <w:szCs w:val="18"/>
              </w:rPr>
              <w:t xml:space="preserve"> g</w:t>
            </w:r>
            <w:r w:rsidRPr="008B5182">
              <w:rPr>
                <w:rFonts w:ascii="Tahoma" w:hAnsi="Tahoma" w:cs="Tahoma"/>
                <w:sz w:val="18"/>
                <w:szCs w:val="18"/>
              </w:rPr>
              <w:t>raficzne przedstawienie ciśnienia w linii infuzyjnej i limitu ciśnienia w formie piktogramu.</w:t>
            </w:r>
          </w:p>
          <w:p w14:paraId="3A575F74" w14:textId="77777777" w:rsidR="00C645FC" w:rsidRPr="008B5182" w:rsidRDefault="00C645FC" w:rsidP="00D3766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37669" w:rsidRPr="008B5182" w14:paraId="7BCDC28F" w14:textId="77777777" w:rsidTr="000539FD">
        <w:trPr>
          <w:cantSplit/>
          <w:trHeight w:val="121"/>
          <w:jc w:val="center"/>
        </w:trPr>
        <w:tc>
          <w:tcPr>
            <w:tcW w:w="851" w:type="dxa"/>
            <w:vAlign w:val="center"/>
          </w:tcPr>
          <w:p w14:paraId="376B772F" w14:textId="197A16C3" w:rsidR="00D37669" w:rsidRPr="008B5182" w:rsidRDefault="00D37669" w:rsidP="00435E95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30C80923" w14:textId="40CE5A29" w:rsidR="00D37669" w:rsidRPr="008B5182" w:rsidRDefault="00D37669" w:rsidP="00D3766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 xml:space="preserve">Ustawianie poziomu ciśnienia </w:t>
            </w:r>
            <w:r w:rsidR="00F86190" w:rsidRPr="008B5182">
              <w:rPr>
                <w:rFonts w:ascii="Tahoma" w:hAnsi="Tahoma" w:cs="Tahoma"/>
                <w:sz w:val="18"/>
                <w:szCs w:val="18"/>
              </w:rPr>
              <w:t>okluzji – min.</w:t>
            </w:r>
            <w:r w:rsidRPr="008B5182">
              <w:rPr>
                <w:rFonts w:ascii="Tahoma" w:hAnsi="Tahoma" w:cs="Tahoma"/>
                <w:sz w:val="18"/>
                <w:szCs w:val="18"/>
              </w:rPr>
              <w:t xml:space="preserve"> 1</w:t>
            </w:r>
            <w:r w:rsidR="00D47B7B" w:rsidRPr="008B5182">
              <w:rPr>
                <w:rFonts w:ascii="Tahoma" w:hAnsi="Tahoma" w:cs="Tahoma"/>
                <w:sz w:val="18"/>
                <w:szCs w:val="18"/>
              </w:rPr>
              <w:t>8</w:t>
            </w:r>
            <w:r w:rsidRPr="008B5182">
              <w:rPr>
                <w:rFonts w:ascii="Tahoma" w:hAnsi="Tahoma" w:cs="Tahoma"/>
                <w:sz w:val="18"/>
                <w:szCs w:val="18"/>
              </w:rPr>
              <w:t xml:space="preserve"> poziomów </w:t>
            </w:r>
          </w:p>
        </w:tc>
      </w:tr>
      <w:tr w:rsidR="00D37669" w:rsidRPr="008B5182" w14:paraId="2C8DBC01" w14:textId="77777777" w:rsidTr="000539FD">
        <w:trPr>
          <w:cantSplit/>
          <w:trHeight w:val="121"/>
          <w:jc w:val="center"/>
        </w:trPr>
        <w:tc>
          <w:tcPr>
            <w:tcW w:w="851" w:type="dxa"/>
            <w:vAlign w:val="center"/>
          </w:tcPr>
          <w:p w14:paraId="1FADE528" w14:textId="3F42A95C" w:rsidR="00D37669" w:rsidRPr="008B5182" w:rsidRDefault="00D37669" w:rsidP="00435E95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6D3CF716" w14:textId="3C6ED2E7" w:rsidR="00C645FC" w:rsidRPr="008B5182" w:rsidRDefault="00D37669" w:rsidP="004D4090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>Możliwość stosowania oprogramowania komputerowego do tworzenia oraz przesyłania do pomp biblioteki leków.</w:t>
            </w:r>
          </w:p>
        </w:tc>
      </w:tr>
      <w:tr w:rsidR="00D37669" w:rsidRPr="008B5182" w14:paraId="46F49CD9" w14:textId="77777777" w:rsidTr="000539FD">
        <w:trPr>
          <w:cantSplit/>
          <w:trHeight w:val="121"/>
          <w:jc w:val="center"/>
        </w:trPr>
        <w:tc>
          <w:tcPr>
            <w:tcW w:w="851" w:type="dxa"/>
            <w:vAlign w:val="center"/>
          </w:tcPr>
          <w:p w14:paraId="54724130" w14:textId="6333EB70" w:rsidR="00D37669" w:rsidRPr="008B5182" w:rsidRDefault="00D37669" w:rsidP="00435E95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4071C5E9" w14:textId="59CA8B85" w:rsidR="00D37669" w:rsidRPr="008B5182" w:rsidRDefault="00E762A9" w:rsidP="00D3766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>Akustyczno-optyczny system alarmów i ostrzeżeń z możliwością kolorystycznego wyróżnienie priorytetu alarmu</w:t>
            </w:r>
          </w:p>
        </w:tc>
      </w:tr>
      <w:tr w:rsidR="00D37669" w:rsidRPr="008B5182" w14:paraId="6E679D49" w14:textId="77777777" w:rsidTr="000539FD">
        <w:trPr>
          <w:cantSplit/>
          <w:trHeight w:val="121"/>
          <w:jc w:val="center"/>
        </w:trPr>
        <w:tc>
          <w:tcPr>
            <w:tcW w:w="851" w:type="dxa"/>
            <w:vAlign w:val="center"/>
          </w:tcPr>
          <w:p w14:paraId="3132002F" w14:textId="6B86436F" w:rsidR="00D37669" w:rsidRPr="008B5182" w:rsidRDefault="00D37669" w:rsidP="00435E95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6BD2013A" w14:textId="569B467B" w:rsidR="00D37669" w:rsidRPr="008B5182" w:rsidRDefault="00D37669" w:rsidP="00D3766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 xml:space="preserve">Kontrola instalacji zestawu </w:t>
            </w:r>
          </w:p>
        </w:tc>
      </w:tr>
      <w:tr w:rsidR="00D37669" w:rsidRPr="008B5182" w14:paraId="708FCFC3" w14:textId="77777777" w:rsidTr="000539FD">
        <w:trPr>
          <w:cantSplit/>
          <w:trHeight w:val="121"/>
          <w:jc w:val="center"/>
        </w:trPr>
        <w:tc>
          <w:tcPr>
            <w:tcW w:w="851" w:type="dxa"/>
            <w:vAlign w:val="center"/>
          </w:tcPr>
          <w:p w14:paraId="1809FA53" w14:textId="5F2C7754" w:rsidR="00D37669" w:rsidRPr="008B5182" w:rsidRDefault="00D37669" w:rsidP="00435E95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51D4FEEB" w14:textId="18B5887B" w:rsidR="00D37669" w:rsidRPr="008B5182" w:rsidRDefault="00D37669" w:rsidP="000A1B84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>Rejestr na min.1400 zdarzeń zapisywany w czasie rzeczywistym</w:t>
            </w:r>
            <w:r w:rsidR="000A1B84" w:rsidRPr="008B518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D37669" w:rsidRPr="008B5182" w14:paraId="1E2AC2AB" w14:textId="77777777" w:rsidTr="000539FD">
        <w:trPr>
          <w:cantSplit/>
          <w:trHeight w:val="121"/>
          <w:jc w:val="center"/>
        </w:trPr>
        <w:tc>
          <w:tcPr>
            <w:tcW w:w="851" w:type="dxa"/>
            <w:vAlign w:val="center"/>
          </w:tcPr>
          <w:p w14:paraId="58226958" w14:textId="146E492F" w:rsidR="00D37669" w:rsidRPr="008B5182" w:rsidRDefault="00D37669" w:rsidP="00435E95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ind w:left="215" w:firstLine="6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43F07C51" w14:textId="54E8229A" w:rsidR="00D37669" w:rsidRPr="008B5182" w:rsidRDefault="00D37669" w:rsidP="00E35A43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>Historia w formie graficznej</w:t>
            </w:r>
            <w:r w:rsidR="00E35A43" w:rsidRPr="008B5182">
              <w:rPr>
                <w:rFonts w:ascii="Tahoma" w:hAnsi="Tahoma" w:cs="Tahoma"/>
                <w:sz w:val="18"/>
                <w:szCs w:val="18"/>
              </w:rPr>
              <w:t>: s</w:t>
            </w:r>
            <w:r w:rsidRPr="008B5182">
              <w:rPr>
                <w:rFonts w:ascii="Tahoma" w:hAnsi="Tahoma" w:cs="Tahoma"/>
                <w:sz w:val="18"/>
                <w:szCs w:val="18"/>
              </w:rPr>
              <w:t>zybkość przepływu, ciśnienie</w:t>
            </w:r>
          </w:p>
        </w:tc>
      </w:tr>
      <w:tr w:rsidR="00D37669" w:rsidRPr="008B5182" w14:paraId="212959E6" w14:textId="77777777" w:rsidTr="000539FD">
        <w:trPr>
          <w:cantSplit/>
          <w:trHeight w:val="121"/>
          <w:jc w:val="center"/>
        </w:trPr>
        <w:tc>
          <w:tcPr>
            <w:tcW w:w="851" w:type="dxa"/>
            <w:vAlign w:val="center"/>
          </w:tcPr>
          <w:p w14:paraId="697ADE3B" w14:textId="50B5BF16" w:rsidR="00D37669" w:rsidRPr="008B5182" w:rsidRDefault="00D37669" w:rsidP="00435E95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5440C2BB" w14:textId="31CBED89" w:rsidR="00D37669" w:rsidRPr="00FD64C8" w:rsidRDefault="00F86190" w:rsidP="00D37669">
            <w:pPr>
              <w:pStyle w:val="Default"/>
              <w:rPr>
                <w:rFonts w:ascii="Tahoma" w:hAnsi="Tahoma" w:cs="Tahoma"/>
                <w:color w:val="EE0000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 xml:space="preserve">Bateria </w:t>
            </w:r>
            <w:r w:rsidR="00C645FC" w:rsidRPr="008B5182">
              <w:rPr>
                <w:rFonts w:ascii="Tahoma" w:hAnsi="Tahoma" w:cs="Tahoma"/>
                <w:sz w:val="18"/>
                <w:szCs w:val="18"/>
              </w:rPr>
              <w:t>litowo</w:t>
            </w:r>
            <w:r w:rsidR="00D37669" w:rsidRPr="008B5182">
              <w:rPr>
                <w:rFonts w:ascii="Tahoma" w:hAnsi="Tahoma" w:cs="Tahoma"/>
                <w:sz w:val="18"/>
                <w:szCs w:val="18"/>
              </w:rPr>
              <w:t xml:space="preserve">-jonowa </w:t>
            </w:r>
            <w:r w:rsidR="00FD64C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D64C8" w:rsidRPr="00FD64C8">
              <w:rPr>
                <w:rFonts w:ascii="Tahoma" w:hAnsi="Tahoma" w:cs="Tahoma"/>
                <w:color w:val="EE0000"/>
                <w:sz w:val="18"/>
                <w:szCs w:val="18"/>
                <w:highlight w:val="yellow"/>
              </w:rPr>
              <w:t>lub Ni-MH</w:t>
            </w:r>
            <w:r w:rsidR="00FD64C8" w:rsidRPr="00FD64C8">
              <w:rPr>
                <w:rFonts w:ascii="Tahoma" w:hAnsi="Tahoma" w:cs="Tahoma"/>
                <w:color w:val="EE0000"/>
                <w:sz w:val="18"/>
                <w:szCs w:val="18"/>
              </w:rPr>
              <w:t xml:space="preserve"> </w:t>
            </w:r>
            <w:r w:rsidRPr="008B5182">
              <w:rPr>
                <w:rFonts w:ascii="Tahoma" w:hAnsi="Tahoma" w:cs="Tahoma"/>
                <w:sz w:val="18"/>
                <w:szCs w:val="18"/>
              </w:rPr>
              <w:t>(poziom</w:t>
            </w:r>
            <w:r w:rsidR="00D37669" w:rsidRPr="008B5182">
              <w:rPr>
                <w:rFonts w:ascii="Tahoma" w:hAnsi="Tahoma" w:cs="Tahoma"/>
                <w:sz w:val="18"/>
                <w:szCs w:val="18"/>
              </w:rPr>
              <w:t xml:space="preserve"> naładowania i pozostały czas </w:t>
            </w:r>
            <w:r w:rsidR="005379C5" w:rsidRPr="008B5182">
              <w:rPr>
                <w:rFonts w:ascii="Tahoma" w:hAnsi="Tahoma" w:cs="Tahoma"/>
                <w:sz w:val="18"/>
                <w:szCs w:val="18"/>
              </w:rPr>
              <w:t>pracy</w:t>
            </w:r>
            <w:r w:rsidR="00D37669" w:rsidRPr="008B5182">
              <w:rPr>
                <w:rFonts w:ascii="Tahoma" w:hAnsi="Tahoma" w:cs="Tahoma"/>
                <w:sz w:val="18"/>
                <w:szCs w:val="18"/>
              </w:rPr>
              <w:t xml:space="preserve"> baterii wyświetlany na ekranie</w:t>
            </w:r>
            <w:r w:rsidR="00FD64C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D64C8" w:rsidRPr="00FD64C8">
              <w:rPr>
                <w:rFonts w:ascii="Tahoma" w:hAnsi="Tahoma" w:cs="Tahoma"/>
                <w:color w:val="EE0000"/>
                <w:sz w:val="18"/>
                <w:szCs w:val="18"/>
                <w:highlight w:val="yellow"/>
              </w:rPr>
              <w:t>lub widoczny po naciśnięciu ikony akumulatora na ekranie dotykowym)</w:t>
            </w:r>
          </w:p>
          <w:p w14:paraId="537B549A" w14:textId="77777777" w:rsidR="00D37669" w:rsidRPr="008B5182" w:rsidRDefault="00D37669" w:rsidP="00D3766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 xml:space="preserve">Czas pracy baterii (przy pełnym naładowaniu): </w:t>
            </w:r>
          </w:p>
          <w:p w14:paraId="60B3CC95" w14:textId="77777777" w:rsidR="005379C5" w:rsidRPr="008B5182" w:rsidRDefault="00D37669" w:rsidP="00D3766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 xml:space="preserve">- min.13 h przy </w:t>
            </w:r>
            <w:r w:rsidR="00F86190" w:rsidRPr="008B5182">
              <w:rPr>
                <w:rFonts w:ascii="Tahoma" w:hAnsi="Tahoma" w:cs="Tahoma"/>
                <w:sz w:val="18"/>
                <w:szCs w:val="18"/>
              </w:rPr>
              <w:t>przepływie 25</w:t>
            </w:r>
            <w:r w:rsidRPr="008B5182">
              <w:rPr>
                <w:rFonts w:ascii="Tahoma" w:hAnsi="Tahoma" w:cs="Tahoma"/>
                <w:sz w:val="18"/>
                <w:szCs w:val="18"/>
              </w:rPr>
              <w:t xml:space="preserve"> ml/h,</w:t>
            </w:r>
            <w:r w:rsidR="005379C5" w:rsidRPr="008B5182">
              <w:rPr>
                <w:rFonts w:ascii="Tahoma" w:hAnsi="Tahoma" w:cs="Tahoma"/>
                <w:sz w:val="18"/>
                <w:szCs w:val="18"/>
              </w:rPr>
              <w:br/>
              <w:t xml:space="preserve">Ładowanie </w:t>
            </w:r>
            <w:r w:rsidR="00F86190" w:rsidRPr="008B5182">
              <w:rPr>
                <w:rFonts w:ascii="Tahoma" w:hAnsi="Tahoma" w:cs="Tahoma"/>
                <w:sz w:val="18"/>
                <w:szCs w:val="18"/>
              </w:rPr>
              <w:t>baterii:</w:t>
            </w:r>
            <w:r w:rsidR="00DA1035" w:rsidRPr="008B518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86190" w:rsidRPr="008B5182">
              <w:rPr>
                <w:rFonts w:ascii="Tahoma" w:hAnsi="Tahoma" w:cs="Tahoma"/>
                <w:sz w:val="18"/>
                <w:szCs w:val="18"/>
              </w:rPr>
              <w:t>(przy</w:t>
            </w:r>
            <w:r w:rsidR="00DA1035" w:rsidRPr="008B5182">
              <w:rPr>
                <w:rFonts w:ascii="Tahoma" w:hAnsi="Tahoma" w:cs="Tahoma"/>
                <w:sz w:val="18"/>
                <w:szCs w:val="18"/>
              </w:rPr>
              <w:t xml:space="preserve"> pompie </w:t>
            </w:r>
            <w:r w:rsidR="00F86190" w:rsidRPr="008B5182">
              <w:rPr>
                <w:rFonts w:ascii="Tahoma" w:hAnsi="Tahoma" w:cs="Tahoma"/>
                <w:sz w:val="18"/>
                <w:szCs w:val="18"/>
              </w:rPr>
              <w:t>wyłączonej)</w:t>
            </w:r>
            <w:r w:rsidR="00DA1035" w:rsidRPr="008B5182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="005379C5" w:rsidRPr="008B5182">
              <w:rPr>
                <w:rFonts w:ascii="Tahoma" w:hAnsi="Tahoma" w:cs="Tahoma"/>
                <w:sz w:val="18"/>
                <w:szCs w:val="18"/>
              </w:rPr>
              <w:t>max.7 h</w:t>
            </w:r>
          </w:p>
          <w:p w14:paraId="4B8D36E3" w14:textId="4C6D858A" w:rsidR="00C645FC" w:rsidRPr="008B5182" w:rsidRDefault="00C645FC" w:rsidP="00D3766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7669" w:rsidRPr="008B5182" w14:paraId="6113BF96" w14:textId="77777777" w:rsidTr="000539FD">
        <w:trPr>
          <w:cantSplit/>
          <w:trHeight w:val="121"/>
          <w:jc w:val="center"/>
        </w:trPr>
        <w:tc>
          <w:tcPr>
            <w:tcW w:w="851" w:type="dxa"/>
            <w:vAlign w:val="center"/>
          </w:tcPr>
          <w:p w14:paraId="4A6A9D8D" w14:textId="65B96878" w:rsidR="00D37669" w:rsidRPr="008B5182" w:rsidRDefault="00D37669" w:rsidP="00435E95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ind w:left="215" w:firstLine="6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772B119F" w14:textId="77777777" w:rsidR="00D37669" w:rsidRPr="008B5182" w:rsidRDefault="00D37669" w:rsidP="00D3766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 xml:space="preserve">Zasilanie pompy bezpośrednio z sieci za pomocą kabla, niedopuszczalny zasilacz zewnętrzny. </w:t>
            </w:r>
          </w:p>
        </w:tc>
      </w:tr>
      <w:tr w:rsidR="00D37669" w:rsidRPr="008B5182" w14:paraId="4F817E69" w14:textId="77777777" w:rsidTr="000539FD">
        <w:trPr>
          <w:cantSplit/>
          <w:trHeight w:val="121"/>
          <w:jc w:val="center"/>
        </w:trPr>
        <w:tc>
          <w:tcPr>
            <w:tcW w:w="851" w:type="dxa"/>
            <w:vAlign w:val="center"/>
          </w:tcPr>
          <w:p w14:paraId="4DA9D5D4" w14:textId="62B68C92" w:rsidR="00D37669" w:rsidRPr="008B5182" w:rsidRDefault="00D37669" w:rsidP="00435E95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077CF4EB" w14:textId="4A0AC724" w:rsidR="00D37669" w:rsidRPr="008B5182" w:rsidRDefault="00D37669" w:rsidP="00D3766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>Uchwyt mocowania pompy do rury pionowej, kolumny lub poziomej szyny oraz rączka do przenoszenia na stałe wbudowane w pompę</w:t>
            </w:r>
          </w:p>
          <w:p w14:paraId="5FCC991C" w14:textId="5F22F376" w:rsidR="00D37669" w:rsidRPr="008B5182" w:rsidRDefault="00D37669" w:rsidP="00D3766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37669" w:rsidRPr="008B5182" w14:paraId="5FB6F7A8" w14:textId="77777777" w:rsidTr="000539FD">
        <w:trPr>
          <w:cantSplit/>
          <w:trHeight w:val="121"/>
          <w:jc w:val="center"/>
        </w:trPr>
        <w:tc>
          <w:tcPr>
            <w:tcW w:w="851" w:type="dxa"/>
            <w:vAlign w:val="center"/>
          </w:tcPr>
          <w:p w14:paraId="392CC82E" w14:textId="5B14D085" w:rsidR="00D37669" w:rsidRPr="008B5182" w:rsidRDefault="00D37669" w:rsidP="00435E95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060866EE" w14:textId="03D88113" w:rsidR="00D37669" w:rsidRPr="008B5182" w:rsidRDefault="00D37669" w:rsidP="00D3766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>Monochromatyczny graficzny wyświetlacz LCD</w:t>
            </w:r>
            <w:r w:rsidR="00FD64C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D64C8" w:rsidRPr="00FD64C8">
              <w:rPr>
                <w:rFonts w:ascii="Tahoma" w:hAnsi="Tahoma" w:cs="Tahoma"/>
                <w:color w:val="EE0000"/>
                <w:sz w:val="18"/>
                <w:szCs w:val="18"/>
                <w:highlight w:val="yellow"/>
              </w:rPr>
              <w:t>lub kolorowy dotykowy ekran o przekątnej 3,2 cala</w:t>
            </w:r>
            <w:r w:rsidRPr="00FD64C8">
              <w:rPr>
                <w:rFonts w:ascii="Tahoma" w:hAnsi="Tahoma" w:cs="Tahoma"/>
                <w:color w:val="EE0000"/>
                <w:sz w:val="18"/>
                <w:szCs w:val="18"/>
              </w:rPr>
              <w:t xml:space="preserve"> </w:t>
            </w:r>
          </w:p>
        </w:tc>
      </w:tr>
      <w:tr w:rsidR="00D37669" w:rsidRPr="008B5182" w14:paraId="206D95B6" w14:textId="77777777" w:rsidTr="000539FD">
        <w:trPr>
          <w:cantSplit/>
          <w:trHeight w:val="121"/>
          <w:jc w:val="center"/>
        </w:trPr>
        <w:tc>
          <w:tcPr>
            <w:tcW w:w="851" w:type="dxa"/>
            <w:vAlign w:val="center"/>
          </w:tcPr>
          <w:p w14:paraId="44432351" w14:textId="646D69E2" w:rsidR="00D37669" w:rsidRPr="008B5182" w:rsidRDefault="00D37669" w:rsidP="00435E95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5EAEAF8B" w14:textId="2CDCE0D1" w:rsidR="00D37669" w:rsidRPr="008B5182" w:rsidRDefault="00D37669" w:rsidP="00D3766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 xml:space="preserve">Masa pompy wraz z uchwytem </w:t>
            </w:r>
            <w:r w:rsidR="00F86190" w:rsidRPr="008B5182">
              <w:rPr>
                <w:rFonts w:ascii="Tahoma" w:hAnsi="Tahoma" w:cs="Tahoma"/>
                <w:sz w:val="18"/>
                <w:szCs w:val="18"/>
              </w:rPr>
              <w:t>mocującym oraz</w:t>
            </w:r>
            <w:r w:rsidRPr="008B5182">
              <w:rPr>
                <w:rFonts w:ascii="Tahoma" w:hAnsi="Tahoma" w:cs="Tahoma"/>
                <w:sz w:val="18"/>
                <w:szCs w:val="18"/>
              </w:rPr>
              <w:t xml:space="preserve"> transportowym </w:t>
            </w:r>
            <w:r w:rsidRPr="00FD64C8">
              <w:rPr>
                <w:rFonts w:ascii="Tahoma" w:hAnsi="Tahoma" w:cs="Tahoma"/>
                <w:color w:val="EE0000"/>
                <w:sz w:val="18"/>
                <w:szCs w:val="18"/>
                <w:highlight w:val="yellow"/>
              </w:rPr>
              <w:t>≤2</w:t>
            </w:r>
            <w:r w:rsidR="00FD64C8" w:rsidRPr="00FD64C8">
              <w:rPr>
                <w:rFonts w:ascii="Tahoma" w:hAnsi="Tahoma" w:cs="Tahoma"/>
                <w:color w:val="EE0000"/>
                <w:sz w:val="18"/>
                <w:szCs w:val="18"/>
                <w:highlight w:val="yellow"/>
              </w:rPr>
              <w:t xml:space="preserve">,4 </w:t>
            </w:r>
            <w:r w:rsidRPr="00FD64C8">
              <w:rPr>
                <w:rFonts w:ascii="Tahoma" w:hAnsi="Tahoma" w:cs="Tahoma"/>
                <w:color w:val="EE0000"/>
                <w:sz w:val="18"/>
                <w:szCs w:val="18"/>
                <w:highlight w:val="yellow"/>
              </w:rPr>
              <w:t>kg</w:t>
            </w:r>
          </w:p>
        </w:tc>
      </w:tr>
      <w:tr w:rsidR="00D37669" w:rsidRPr="008B5182" w14:paraId="0A8AA315" w14:textId="77777777" w:rsidTr="000539FD">
        <w:trPr>
          <w:cantSplit/>
          <w:trHeight w:val="121"/>
          <w:jc w:val="center"/>
        </w:trPr>
        <w:tc>
          <w:tcPr>
            <w:tcW w:w="851" w:type="dxa"/>
            <w:vAlign w:val="center"/>
          </w:tcPr>
          <w:p w14:paraId="271524A3" w14:textId="63F621BE" w:rsidR="00D37669" w:rsidRPr="008B5182" w:rsidRDefault="00D37669" w:rsidP="00435E95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712B398F" w14:textId="77777777" w:rsidR="00D37669" w:rsidRPr="008B5182" w:rsidRDefault="00D37669" w:rsidP="00D3766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 xml:space="preserve">Wskaźnik pracy pompy widoczny z min. 4 metrów </w:t>
            </w:r>
          </w:p>
        </w:tc>
      </w:tr>
      <w:tr w:rsidR="00D37669" w:rsidRPr="008B5182" w14:paraId="3F41E21D" w14:textId="77777777" w:rsidTr="000539FD">
        <w:trPr>
          <w:cantSplit/>
          <w:trHeight w:val="121"/>
          <w:jc w:val="center"/>
        </w:trPr>
        <w:tc>
          <w:tcPr>
            <w:tcW w:w="851" w:type="dxa"/>
            <w:vAlign w:val="center"/>
          </w:tcPr>
          <w:p w14:paraId="039F05FE" w14:textId="71B98C40" w:rsidR="00D37669" w:rsidRPr="008B5182" w:rsidRDefault="00D37669" w:rsidP="00435E95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009F49D6" w14:textId="34B9DC2D" w:rsidR="00D37669" w:rsidRPr="008B5182" w:rsidRDefault="00E762A9" w:rsidP="00D3766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>Urządzenie wyposażone w tryb dzienny i nocny z opcją przełączania między trybami ręcznie lub automatycznie</w:t>
            </w:r>
          </w:p>
        </w:tc>
      </w:tr>
      <w:tr w:rsidR="00D37669" w:rsidRPr="008B5182" w14:paraId="66A74F72" w14:textId="77777777" w:rsidTr="000539FD">
        <w:trPr>
          <w:cantSplit/>
          <w:trHeight w:val="121"/>
          <w:jc w:val="center"/>
        </w:trPr>
        <w:tc>
          <w:tcPr>
            <w:tcW w:w="851" w:type="dxa"/>
            <w:vAlign w:val="center"/>
          </w:tcPr>
          <w:p w14:paraId="5D8C572A" w14:textId="0532D8A3" w:rsidR="00D37669" w:rsidRPr="008B5182" w:rsidRDefault="00D37669" w:rsidP="00435E95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6BF8BDEC" w14:textId="77777777" w:rsidR="00D37669" w:rsidRPr="008B5182" w:rsidRDefault="00D37669" w:rsidP="00D3766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 xml:space="preserve">Możliwość stosowania drenów do podaży: </w:t>
            </w:r>
          </w:p>
          <w:p w14:paraId="409AF481" w14:textId="77777777" w:rsidR="00D37669" w:rsidRPr="008B5182" w:rsidRDefault="00D37669" w:rsidP="00D3766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 xml:space="preserve">- leków standardowych, </w:t>
            </w:r>
          </w:p>
          <w:p w14:paraId="13A2D6C0" w14:textId="77777777" w:rsidR="00D37669" w:rsidRPr="008B5182" w:rsidRDefault="00D37669" w:rsidP="00D3766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 xml:space="preserve">- płynów infuzyjnych, </w:t>
            </w:r>
          </w:p>
          <w:p w14:paraId="69154E14" w14:textId="77777777" w:rsidR="00D37669" w:rsidRPr="008B5182" w:rsidRDefault="00D37669" w:rsidP="00D3766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 xml:space="preserve">- żywienia pozajelitowego, </w:t>
            </w:r>
          </w:p>
          <w:p w14:paraId="7161364C" w14:textId="77777777" w:rsidR="00D37669" w:rsidRPr="008B5182" w:rsidRDefault="00D37669" w:rsidP="00D3766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 xml:space="preserve">- leków światłoczułych, </w:t>
            </w:r>
          </w:p>
          <w:p w14:paraId="396CE411" w14:textId="77777777" w:rsidR="00D37669" w:rsidRPr="008B5182" w:rsidRDefault="00D37669" w:rsidP="00D3766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 xml:space="preserve">- krwi i preparatów krwiopochodnych, </w:t>
            </w:r>
          </w:p>
          <w:p w14:paraId="7F9768C0" w14:textId="77777777" w:rsidR="00D37669" w:rsidRPr="008B5182" w:rsidRDefault="00D37669" w:rsidP="00D37669">
            <w:pPr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>- cytostatyków (zestawy nie zawierające DEHP oraz lateksu).</w:t>
            </w:r>
          </w:p>
          <w:p w14:paraId="21762DBB" w14:textId="77777777" w:rsidR="00C645FC" w:rsidRPr="008B5182" w:rsidRDefault="00C645FC" w:rsidP="00D3766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7669" w:rsidRPr="008B5182" w14:paraId="4BDE84A1" w14:textId="77777777" w:rsidTr="000539FD">
        <w:trPr>
          <w:cantSplit/>
          <w:trHeight w:val="121"/>
          <w:jc w:val="center"/>
        </w:trPr>
        <w:tc>
          <w:tcPr>
            <w:tcW w:w="851" w:type="dxa"/>
            <w:vAlign w:val="center"/>
          </w:tcPr>
          <w:p w14:paraId="291629E6" w14:textId="401557FE" w:rsidR="00D37669" w:rsidRPr="008B5182" w:rsidRDefault="00D37669" w:rsidP="00435E95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52522636" w14:textId="245C563A" w:rsidR="00D37669" w:rsidRPr="008B5182" w:rsidRDefault="00D37669" w:rsidP="00D3766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 xml:space="preserve">Auto-test uruchamiany automatycznie po założeniu drenu sprawdzający prawidłową pracę pompy w połączeniu z weryfikacją założenia zestawu infuzyjnego </w:t>
            </w:r>
          </w:p>
        </w:tc>
      </w:tr>
      <w:tr w:rsidR="00D37669" w:rsidRPr="008B5182" w14:paraId="49BF0803" w14:textId="77777777" w:rsidTr="000539FD">
        <w:trPr>
          <w:cantSplit/>
          <w:trHeight w:val="121"/>
          <w:jc w:val="center"/>
        </w:trPr>
        <w:tc>
          <w:tcPr>
            <w:tcW w:w="851" w:type="dxa"/>
            <w:vAlign w:val="center"/>
          </w:tcPr>
          <w:p w14:paraId="329303C2" w14:textId="0443127D" w:rsidR="00D37669" w:rsidRPr="008B5182" w:rsidRDefault="00D37669" w:rsidP="00435E95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4D03F933" w14:textId="77777777" w:rsidR="00D37669" w:rsidRPr="008B5182" w:rsidRDefault="00D37669" w:rsidP="00D3766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>Mechanizm zabezpieczający przed swobodnym przepływem grawitacyjnym składający się z dwóch elementów – jeden w pompie i jeden na drenie.</w:t>
            </w:r>
          </w:p>
        </w:tc>
      </w:tr>
      <w:tr w:rsidR="00D37669" w:rsidRPr="008B5182" w14:paraId="75729A3A" w14:textId="77777777" w:rsidTr="000539FD">
        <w:trPr>
          <w:cantSplit/>
          <w:trHeight w:val="121"/>
          <w:jc w:val="center"/>
        </w:trPr>
        <w:tc>
          <w:tcPr>
            <w:tcW w:w="851" w:type="dxa"/>
            <w:vAlign w:val="center"/>
          </w:tcPr>
          <w:p w14:paraId="40A33AA0" w14:textId="6CBE18AB" w:rsidR="00D37669" w:rsidRPr="008B5182" w:rsidRDefault="00D37669" w:rsidP="00435E95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510CD64E" w14:textId="11E8B984" w:rsidR="00D37669" w:rsidRPr="008B5182" w:rsidRDefault="00D37669" w:rsidP="00F548C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 xml:space="preserve">Dynamiczny System Ciśnienia – DPS – </w:t>
            </w:r>
            <w:r w:rsidR="00F86190" w:rsidRPr="008B5182">
              <w:rPr>
                <w:rFonts w:ascii="Tahoma" w:hAnsi="Tahoma" w:cs="Tahoma"/>
                <w:sz w:val="18"/>
                <w:szCs w:val="18"/>
              </w:rPr>
              <w:t>ostrzegający o</w:t>
            </w:r>
            <w:r w:rsidRPr="008B5182">
              <w:rPr>
                <w:rFonts w:ascii="Tahoma" w:hAnsi="Tahoma" w:cs="Tahoma"/>
                <w:sz w:val="18"/>
                <w:szCs w:val="18"/>
              </w:rPr>
              <w:t xml:space="preserve"> zmianach ciśnienia.</w:t>
            </w:r>
          </w:p>
        </w:tc>
      </w:tr>
      <w:tr w:rsidR="00D37669" w:rsidRPr="008B5182" w14:paraId="37AA2658" w14:textId="77777777" w:rsidTr="000539FD">
        <w:trPr>
          <w:cantSplit/>
          <w:trHeight w:val="447"/>
          <w:jc w:val="center"/>
        </w:trPr>
        <w:tc>
          <w:tcPr>
            <w:tcW w:w="851" w:type="dxa"/>
            <w:vAlign w:val="center"/>
          </w:tcPr>
          <w:p w14:paraId="6DE293A6" w14:textId="500071C4" w:rsidR="00D37669" w:rsidRPr="008B5182" w:rsidRDefault="00D37669" w:rsidP="00E961E9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ind w:left="215" w:firstLine="111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513E9B98" w14:textId="690879EF" w:rsidR="00D37669" w:rsidRPr="008B5182" w:rsidRDefault="00D37669" w:rsidP="004D4090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>Stopień ochrony przed wnikaniem wody</w:t>
            </w:r>
            <w:r w:rsidR="00FD64C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D64C8" w:rsidRPr="00FD64C8">
              <w:rPr>
                <w:rFonts w:ascii="Tahoma" w:hAnsi="Tahoma" w:cs="Tahoma"/>
                <w:color w:val="EE0000"/>
                <w:sz w:val="18"/>
                <w:szCs w:val="18"/>
                <w:highlight w:val="yellow"/>
              </w:rPr>
              <w:t>min.</w:t>
            </w:r>
            <w:r w:rsidR="004D4090" w:rsidRPr="00FD64C8">
              <w:rPr>
                <w:rFonts w:ascii="Tahoma" w:hAnsi="Tahoma" w:cs="Tahoma"/>
                <w:color w:val="EE0000"/>
                <w:sz w:val="18"/>
                <w:szCs w:val="18"/>
                <w:highlight w:val="yellow"/>
              </w:rPr>
              <w:t xml:space="preserve"> </w:t>
            </w:r>
            <w:r w:rsidRPr="00FD64C8">
              <w:rPr>
                <w:rFonts w:ascii="Tahoma" w:hAnsi="Tahoma" w:cs="Tahoma"/>
                <w:color w:val="EE0000"/>
                <w:sz w:val="18"/>
                <w:szCs w:val="18"/>
                <w:highlight w:val="yellow"/>
              </w:rPr>
              <w:t>IP</w:t>
            </w:r>
            <w:r w:rsidR="00FD64C8" w:rsidRPr="00FD64C8">
              <w:rPr>
                <w:rFonts w:ascii="Tahoma" w:hAnsi="Tahoma" w:cs="Tahoma"/>
                <w:color w:val="EE0000"/>
                <w:sz w:val="18"/>
                <w:szCs w:val="18"/>
                <w:highlight w:val="yellow"/>
              </w:rPr>
              <w:t>22</w:t>
            </w:r>
          </w:p>
        </w:tc>
      </w:tr>
      <w:tr w:rsidR="005C4DA2" w:rsidRPr="008B5182" w14:paraId="74A0C89C" w14:textId="77777777" w:rsidTr="000539FD">
        <w:trPr>
          <w:cantSplit/>
          <w:trHeight w:val="447"/>
          <w:jc w:val="center"/>
        </w:trPr>
        <w:tc>
          <w:tcPr>
            <w:tcW w:w="851" w:type="dxa"/>
            <w:vAlign w:val="center"/>
          </w:tcPr>
          <w:p w14:paraId="71E84D79" w14:textId="77777777" w:rsidR="005C4DA2" w:rsidRPr="008B5182" w:rsidRDefault="005C4DA2" w:rsidP="00435E95">
            <w:pPr>
              <w:pStyle w:val="Akapitzlist"/>
              <w:numPr>
                <w:ilvl w:val="0"/>
                <w:numId w:val="2"/>
              </w:numPr>
              <w:snapToGrid w:val="0"/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14:paraId="77F106DA" w14:textId="69D3E2F7" w:rsidR="005C4DA2" w:rsidRPr="008B5182" w:rsidRDefault="005C4DA2" w:rsidP="00F548C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B5182">
              <w:rPr>
                <w:rFonts w:ascii="Tahoma" w:hAnsi="Tahoma" w:cs="Tahoma"/>
                <w:sz w:val="18"/>
                <w:szCs w:val="18"/>
              </w:rPr>
              <w:t>Pompa fabryczne nowa – rok produkcji 2025</w:t>
            </w:r>
          </w:p>
        </w:tc>
      </w:tr>
    </w:tbl>
    <w:p w14:paraId="0D03B888" w14:textId="77777777" w:rsidR="00520337" w:rsidRPr="008B5182" w:rsidRDefault="00520337">
      <w:pPr>
        <w:rPr>
          <w:rFonts w:ascii="Tahoma" w:hAnsi="Tahoma" w:cs="Tahoma"/>
          <w:sz w:val="18"/>
          <w:szCs w:val="18"/>
        </w:rPr>
      </w:pPr>
    </w:p>
    <w:sectPr w:rsidR="00520337" w:rsidRPr="008B5182" w:rsidSect="00F8619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04D5F" w14:textId="77777777" w:rsidR="00E3278D" w:rsidRDefault="00E3278D" w:rsidP="00E3278D">
      <w:r>
        <w:separator/>
      </w:r>
    </w:p>
  </w:endnote>
  <w:endnote w:type="continuationSeparator" w:id="0">
    <w:p w14:paraId="67F017CE" w14:textId="77777777" w:rsidR="00E3278D" w:rsidRDefault="00E3278D" w:rsidP="00E3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DD7BD" w14:textId="77777777" w:rsidR="00E3278D" w:rsidRDefault="00E3278D" w:rsidP="00E3278D">
      <w:r>
        <w:separator/>
      </w:r>
    </w:p>
  </w:footnote>
  <w:footnote w:type="continuationSeparator" w:id="0">
    <w:p w14:paraId="19837A3F" w14:textId="77777777" w:rsidR="00E3278D" w:rsidRDefault="00E3278D" w:rsidP="00E32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16D"/>
    <w:multiLevelType w:val="hybridMultilevel"/>
    <w:tmpl w:val="C6D2F1F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01164"/>
    <w:multiLevelType w:val="hybridMultilevel"/>
    <w:tmpl w:val="BB24F352"/>
    <w:lvl w:ilvl="0" w:tplc="90C8D7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9491054">
    <w:abstractNumId w:val="1"/>
  </w:num>
  <w:num w:numId="2" w16cid:durableId="130327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A5"/>
    <w:rsid w:val="000539FD"/>
    <w:rsid w:val="000A1B84"/>
    <w:rsid w:val="001709A3"/>
    <w:rsid w:val="001829A8"/>
    <w:rsid w:val="0019232D"/>
    <w:rsid w:val="001D7553"/>
    <w:rsid w:val="001E0F7A"/>
    <w:rsid w:val="00237E68"/>
    <w:rsid w:val="002C10B6"/>
    <w:rsid w:val="002F17D5"/>
    <w:rsid w:val="00354C98"/>
    <w:rsid w:val="0036006A"/>
    <w:rsid w:val="003E6E39"/>
    <w:rsid w:val="00435E95"/>
    <w:rsid w:val="004A0382"/>
    <w:rsid w:val="004B2FAB"/>
    <w:rsid w:val="004D4090"/>
    <w:rsid w:val="005048F8"/>
    <w:rsid w:val="00520337"/>
    <w:rsid w:val="005246E5"/>
    <w:rsid w:val="005379C5"/>
    <w:rsid w:val="005C4DA2"/>
    <w:rsid w:val="005D5854"/>
    <w:rsid w:val="006E37BA"/>
    <w:rsid w:val="00866FE8"/>
    <w:rsid w:val="008A4926"/>
    <w:rsid w:val="008B5182"/>
    <w:rsid w:val="008F72FB"/>
    <w:rsid w:val="00930F5D"/>
    <w:rsid w:val="0095033A"/>
    <w:rsid w:val="00984713"/>
    <w:rsid w:val="00986767"/>
    <w:rsid w:val="00992D76"/>
    <w:rsid w:val="00A20303"/>
    <w:rsid w:val="00A90874"/>
    <w:rsid w:val="00B700A3"/>
    <w:rsid w:val="00C02817"/>
    <w:rsid w:val="00C1033C"/>
    <w:rsid w:val="00C47ED3"/>
    <w:rsid w:val="00C57AA7"/>
    <w:rsid w:val="00C645FC"/>
    <w:rsid w:val="00CA1759"/>
    <w:rsid w:val="00CA20A5"/>
    <w:rsid w:val="00CE2AB0"/>
    <w:rsid w:val="00D37669"/>
    <w:rsid w:val="00D419EF"/>
    <w:rsid w:val="00D47B7B"/>
    <w:rsid w:val="00D6402A"/>
    <w:rsid w:val="00DA1035"/>
    <w:rsid w:val="00E3278D"/>
    <w:rsid w:val="00E35A43"/>
    <w:rsid w:val="00E762A9"/>
    <w:rsid w:val="00E8277E"/>
    <w:rsid w:val="00E8356F"/>
    <w:rsid w:val="00E878BC"/>
    <w:rsid w:val="00E961E9"/>
    <w:rsid w:val="00EB2DAE"/>
    <w:rsid w:val="00EC09E2"/>
    <w:rsid w:val="00F1103B"/>
    <w:rsid w:val="00F34502"/>
    <w:rsid w:val="00F548C9"/>
    <w:rsid w:val="00F86190"/>
    <w:rsid w:val="00FD30A2"/>
    <w:rsid w:val="00FD64C8"/>
    <w:rsid w:val="00F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26A6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D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2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2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20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2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20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20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20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20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20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2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2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20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20A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20A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20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20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20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20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20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2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2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2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2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20A5"/>
    <w:rPr>
      <w:i/>
      <w:iCs/>
      <w:color w:val="404040" w:themeColor="text1" w:themeTint="BF"/>
    </w:rPr>
  </w:style>
  <w:style w:type="paragraph" w:styleId="Akapitzlist">
    <w:name w:val="List Paragraph"/>
    <w:aliases w:val="sw tekst,Akapit z listą3"/>
    <w:basedOn w:val="Normalny"/>
    <w:link w:val="AkapitzlistZnak"/>
    <w:uiPriority w:val="34"/>
    <w:qFormat/>
    <w:rsid w:val="00CA20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20A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2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20A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20A5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sw tekst Znak,Akapit z listą3 Znak"/>
    <w:link w:val="Akapitzlist"/>
    <w:uiPriority w:val="34"/>
    <w:locked/>
    <w:rsid w:val="00992D76"/>
  </w:style>
  <w:style w:type="paragraph" w:styleId="Stopka">
    <w:name w:val="footer"/>
    <w:basedOn w:val="Normalny"/>
    <w:link w:val="StopkaZnak"/>
    <w:uiPriority w:val="99"/>
    <w:unhideWhenUsed/>
    <w:rsid w:val="00992D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2D7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992D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92D7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AbsatzTableFormat">
    <w:name w:val="AbsatzTableFormat"/>
    <w:basedOn w:val="Normalny"/>
    <w:rsid w:val="00992D76"/>
    <w:pPr>
      <w:suppressAutoHyphens/>
    </w:pPr>
    <w:rPr>
      <w:rFonts w:ascii="Arial" w:hAnsi="Arial"/>
      <w:sz w:val="22"/>
    </w:rPr>
  </w:style>
  <w:style w:type="paragraph" w:styleId="Bezodstpw">
    <w:name w:val="No Spacing"/>
    <w:uiPriority w:val="1"/>
    <w:qFormat/>
    <w:rsid w:val="00992D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ezodstpw1">
    <w:name w:val="Bez odstępów1"/>
    <w:rsid w:val="00992D76"/>
    <w:pPr>
      <w:spacing w:after="0" w:line="240" w:lineRule="auto"/>
    </w:pPr>
    <w:rPr>
      <w:rFonts w:ascii="Cambria" w:eastAsia="Times New Roman" w:hAnsi="Cambria" w:cs="Cambria"/>
      <w:kern w:val="0"/>
      <w:sz w:val="24"/>
      <w:szCs w:val="24"/>
      <w:lang w:val="cs-CZ" w:eastAsia="pl-PL"/>
      <w14:ligatures w14:val="none"/>
    </w:rPr>
  </w:style>
  <w:style w:type="paragraph" w:customStyle="1" w:styleId="Default">
    <w:name w:val="Default"/>
    <w:basedOn w:val="Normalny"/>
    <w:rsid w:val="00992D76"/>
    <w:pPr>
      <w:autoSpaceDE w:val="0"/>
      <w:autoSpaceDN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32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278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2025-07-21T10:18:00Z</dcterms:created>
  <dcterms:modified xsi:type="dcterms:W3CDTF">2025-07-21T10:36:00Z</dcterms:modified>
</cp:coreProperties>
</file>