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2DAB47B0" w:rsidR="00B77FE5" w:rsidRPr="00822B40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92F8E">
        <w:rPr>
          <w:rFonts w:ascii="Tahoma" w:eastAsia="Times New Roman" w:hAnsi="Tahoma" w:cs="Tahoma"/>
          <w:bCs/>
          <w:sz w:val="20"/>
          <w:szCs w:val="20"/>
          <w:lang w:eastAsia="pl-PL"/>
        </w:rPr>
        <w:t>105</w:t>
      </w:r>
      <w:r w:rsidR="00637943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22B40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FFEA38" w14:textId="141C1A81" w:rsidR="00B77FE5" w:rsidRPr="00822B40" w:rsidRDefault="00D92F8E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bookmarkStart w:id="0" w:name="_Hlk146196122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cewki do aparatu rezonansu magnetycznego Magnetom Vida s/n:175890</w:t>
      </w:r>
    </w:p>
    <w:bookmarkEnd w:id="0"/>
    <w:p w14:paraId="4AC94008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5B397C52" w:rsidR="001C47F9" w:rsidRPr="00822B40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822B40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22B40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22B40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1C67F60F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9406FF">
        <w:rPr>
          <w:rFonts w:ascii="Tahoma" w:eastAsia="Times New Roman" w:hAnsi="Tahoma" w:cs="Tahoma"/>
          <w:bCs/>
          <w:sz w:val="20"/>
          <w:szCs w:val="20"/>
          <w:lang w:eastAsia="pl-PL"/>
        </w:rPr>
        <w:t>22.09.2023</w:t>
      </w:r>
    </w:p>
    <w:p w14:paraId="1073DA4C" w14:textId="0205DA79" w:rsidR="0030173F" w:rsidRPr="00822B40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340301F8" w:rsidR="00B955C8" w:rsidRPr="00822B40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</w:t>
      </w:r>
      <w:r w:rsidR="006A0583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31FB4971" wp14:editId="101C9814">
            <wp:extent cx="1884045" cy="908685"/>
            <wp:effectExtent l="0" t="0" r="1905" b="5715"/>
            <wp:docPr id="830995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2B40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</w:t>
      </w:r>
    </w:p>
    <w:p w14:paraId="09DD8AAA" w14:textId="2B117F2A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9EA34E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0AA2E0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D16FB6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7ED0BE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61CDC7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8489C0" w14:textId="77777777" w:rsidR="006E1413" w:rsidRPr="00822B40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EF974D" w14:textId="77777777" w:rsidR="00822B40" w:rsidRP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6EBFDFC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22B40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4B3384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1C47F9"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22B40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22B40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3AC950AB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14:paraId="05352B33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 dostępna jest na stronie Platformy </w:t>
      </w:r>
      <w:hyperlink r:id="rId12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22B40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22B40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22B40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22B40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22B40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29A2DC86" w14:textId="46A79687" w:rsidR="00D92F8E" w:rsidRPr="00D92F8E" w:rsidRDefault="00E506E7" w:rsidP="00D92F8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Arial-BoldMT" w:hAnsi="Arial-BoldMT" w:cs="Arial-BoldMT"/>
          <w:sz w:val="20"/>
          <w:szCs w:val="20"/>
        </w:rPr>
      </w:pPr>
      <w:r w:rsidRPr="00D92F8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</w:t>
      </w:r>
      <w:r w:rsidR="00D92F8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dostawa i montaż cewki opisanej poniżej, w tym wykonanie wszystkich czynności serwisowych przewidzianych w procedurze instalacji cewki MR (kalibracje, regulacje, ustawienia itp.)  </w:t>
      </w:r>
      <w:r w:rsidR="00D92F8E" w:rsidRPr="00D92F8E">
        <w:rPr>
          <w:rFonts w:ascii="Tahoma" w:hAnsi="Tahoma" w:cs="Tahoma"/>
          <w:color w:val="FF0000"/>
          <w:sz w:val="20"/>
          <w:szCs w:val="20"/>
        </w:rPr>
        <w:t>Cewk</w:t>
      </w:r>
      <w:r w:rsidR="00AB5FC4">
        <w:rPr>
          <w:rFonts w:ascii="Tahoma" w:hAnsi="Tahoma" w:cs="Tahoma"/>
          <w:color w:val="FF0000"/>
          <w:sz w:val="20"/>
          <w:szCs w:val="20"/>
        </w:rPr>
        <w:t>a</w:t>
      </w:r>
      <w:r w:rsidR="00D92F8E" w:rsidRPr="00D92F8E">
        <w:rPr>
          <w:rFonts w:ascii="Tahoma" w:hAnsi="Tahoma" w:cs="Tahoma"/>
          <w:color w:val="FF0000"/>
          <w:sz w:val="20"/>
          <w:szCs w:val="20"/>
        </w:rPr>
        <w:t xml:space="preserve"> wielokanałow</w:t>
      </w:r>
      <w:r w:rsidR="00AB5FC4">
        <w:rPr>
          <w:rFonts w:ascii="Tahoma" w:hAnsi="Tahoma" w:cs="Tahoma"/>
          <w:color w:val="FF0000"/>
          <w:sz w:val="20"/>
          <w:szCs w:val="20"/>
        </w:rPr>
        <w:t>a</w:t>
      </w:r>
      <w:r w:rsidR="00D92F8E" w:rsidRPr="00D92F8E">
        <w:rPr>
          <w:rFonts w:ascii="Tahoma" w:hAnsi="Tahoma" w:cs="Tahoma"/>
          <w:color w:val="FF0000"/>
          <w:sz w:val="20"/>
          <w:szCs w:val="20"/>
        </w:rPr>
        <w:t xml:space="preserve"> typu matrycowego przeznaczona do badań głowy i szyi posiadająca w badanym obszarze min. 20 elementów obrazujących ( kanałów odbiorczych) jednocześnie i pozwalająca na akwizycje równoległe typu ASSET, </w:t>
      </w:r>
      <w:proofErr w:type="spellStart"/>
      <w:r w:rsidR="00D92F8E" w:rsidRPr="00D92F8E">
        <w:rPr>
          <w:rFonts w:ascii="Tahoma" w:hAnsi="Tahoma" w:cs="Tahoma"/>
          <w:color w:val="FF0000"/>
          <w:sz w:val="20"/>
          <w:szCs w:val="20"/>
        </w:rPr>
        <w:t>iPAT</w:t>
      </w:r>
      <w:proofErr w:type="spellEnd"/>
      <w:r w:rsidR="00D92F8E" w:rsidRPr="00D92F8E">
        <w:rPr>
          <w:rFonts w:ascii="Tahoma" w:hAnsi="Tahoma" w:cs="Tahoma"/>
          <w:color w:val="FF0000"/>
          <w:sz w:val="20"/>
          <w:szCs w:val="20"/>
        </w:rPr>
        <w:t xml:space="preserve">, SENSE, SPEEDER lub zgodnie z nomenklaturą producenta, do aparatu rezonans magnetyczny Magnetom Vida s/n: 175890. </w:t>
      </w:r>
    </w:p>
    <w:p w14:paraId="40DF764A" w14:textId="1022FF25" w:rsidR="00E506E7" w:rsidRPr="00D92F8E" w:rsidRDefault="00D92F8E" w:rsidP="00D92F8E">
      <w:pPr>
        <w:pStyle w:val="Akapitzlist"/>
        <w:spacing w:after="0" w:line="240" w:lineRule="auto"/>
        <w:ind w:left="426"/>
        <w:jc w:val="both"/>
        <w:rPr>
          <w:rFonts w:ascii="Arial-BoldMT" w:hAnsi="Arial-BoldMT" w:cs="Arial-BoldMT"/>
          <w:sz w:val="20"/>
          <w:szCs w:val="20"/>
        </w:rPr>
      </w:pPr>
      <w:r w:rsidRPr="00D92F8E">
        <w:rPr>
          <w:rFonts w:ascii="Tahoma" w:hAnsi="Tahoma" w:cs="Tahoma"/>
          <w:color w:val="FF0000"/>
          <w:sz w:val="20"/>
          <w:szCs w:val="20"/>
        </w:rPr>
        <w:t xml:space="preserve">Dostawa ma na celu przywrócenie stanu technicznego oraz funkcjonalności ww. aparatu w zakresie badania głowy i szyi do stanu przed zdarzeniem, które doprowadziło do mechanicznego uszkodzenia cewki </w:t>
      </w:r>
      <w:proofErr w:type="spellStart"/>
      <w:r w:rsidRPr="00D92F8E">
        <w:rPr>
          <w:rFonts w:ascii="Tahoma" w:hAnsi="Tahoma" w:cs="Tahoma"/>
          <w:color w:val="FF0000"/>
          <w:sz w:val="20"/>
          <w:szCs w:val="20"/>
        </w:rPr>
        <w:t>Head</w:t>
      </w:r>
      <w:proofErr w:type="spellEnd"/>
      <w:r w:rsidRPr="00D92F8E">
        <w:rPr>
          <w:rFonts w:ascii="Tahoma" w:hAnsi="Tahoma" w:cs="Tahoma"/>
          <w:color w:val="FF0000"/>
          <w:sz w:val="20"/>
          <w:szCs w:val="20"/>
        </w:rPr>
        <w:t xml:space="preserve">/Neck 20 </w:t>
      </w:r>
      <w:proofErr w:type="spellStart"/>
      <w:r w:rsidRPr="00D92F8E">
        <w:rPr>
          <w:rFonts w:ascii="Tahoma" w:hAnsi="Tahoma" w:cs="Tahoma"/>
          <w:color w:val="FF0000"/>
          <w:sz w:val="20"/>
          <w:szCs w:val="20"/>
        </w:rPr>
        <w:t>shim</w:t>
      </w:r>
      <w:proofErr w:type="spellEnd"/>
      <w:r w:rsidRPr="00D92F8E">
        <w:rPr>
          <w:rFonts w:ascii="Tahoma" w:hAnsi="Tahoma" w:cs="Tahoma"/>
          <w:color w:val="FF0000"/>
          <w:sz w:val="20"/>
          <w:szCs w:val="20"/>
        </w:rPr>
        <w:t xml:space="preserve"> MR </w:t>
      </w:r>
      <w:proofErr w:type="spellStart"/>
      <w:r w:rsidRPr="00D92F8E">
        <w:rPr>
          <w:rFonts w:ascii="Tahoma" w:hAnsi="Tahoma" w:cs="Tahoma"/>
          <w:color w:val="FF0000"/>
          <w:sz w:val="20"/>
          <w:szCs w:val="20"/>
        </w:rPr>
        <w:t>Coil</w:t>
      </w:r>
      <w:proofErr w:type="spellEnd"/>
      <w:r w:rsidRPr="00D92F8E">
        <w:rPr>
          <w:rFonts w:ascii="Tahoma" w:hAnsi="Tahoma" w:cs="Tahoma"/>
          <w:color w:val="FF0000"/>
          <w:sz w:val="20"/>
          <w:szCs w:val="20"/>
        </w:rPr>
        <w:t xml:space="preserve"> 3T. Zamawiający wymaga, aby zaoferowana cewka posiadała parametry i funkcjonalność nie gorsze niż uszkodzona cewka </w:t>
      </w:r>
      <w:proofErr w:type="spellStart"/>
      <w:r w:rsidRPr="00D92F8E">
        <w:rPr>
          <w:rFonts w:ascii="Tahoma" w:hAnsi="Tahoma" w:cs="Tahoma"/>
          <w:color w:val="FF0000"/>
          <w:sz w:val="20"/>
          <w:szCs w:val="20"/>
        </w:rPr>
        <w:t>Head</w:t>
      </w:r>
      <w:proofErr w:type="spellEnd"/>
      <w:r w:rsidRPr="00D92F8E">
        <w:rPr>
          <w:rFonts w:ascii="Tahoma" w:hAnsi="Tahoma" w:cs="Tahoma"/>
          <w:color w:val="FF0000"/>
          <w:sz w:val="20"/>
          <w:szCs w:val="20"/>
        </w:rPr>
        <w:t xml:space="preserve">/Neck 20 </w:t>
      </w:r>
      <w:proofErr w:type="spellStart"/>
      <w:r w:rsidRPr="00D92F8E">
        <w:rPr>
          <w:rFonts w:ascii="Tahoma" w:hAnsi="Tahoma" w:cs="Tahoma"/>
          <w:color w:val="FF0000"/>
          <w:sz w:val="20"/>
          <w:szCs w:val="20"/>
        </w:rPr>
        <w:t>shim</w:t>
      </w:r>
      <w:proofErr w:type="spellEnd"/>
      <w:r w:rsidRPr="00D92F8E">
        <w:rPr>
          <w:rFonts w:ascii="Tahoma" w:hAnsi="Tahoma" w:cs="Tahoma"/>
          <w:color w:val="FF0000"/>
          <w:sz w:val="20"/>
          <w:szCs w:val="20"/>
        </w:rPr>
        <w:t xml:space="preserve"> MR </w:t>
      </w:r>
      <w:proofErr w:type="spellStart"/>
      <w:r w:rsidRPr="00D92F8E">
        <w:rPr>
          <w:rFonts w:ascii="Tahoma" w:hAnsi="Tahoma" w:cs="Tahoma"/>
          <w:color w:val="FF0000"/>
          <w:sz w:val="20"/>
          <w:szCs w:val="20"/>
        </w:rPr>
        <w:t>Coil</w:t>
      </w:r>
      <w:proofErr w:type="spellEnd"/>
      <w:r w:rsidRPr="00D92F8E">
        <w:rPr>
          <w:rFonts w:ascii="Tahoma" w:hAnsi="Tahoma" w:cs="Tahoma"/>
          <w:color w:val="FF0000"/>
          <w:sz w:val="20"/>
          <w:szCs w:val="20"/>
        </w:rPr>
        <w:t xml:space="preserve"> 3T.</w:t>
      </w:r>
    </w:p>
    <w:p w14:paraId="407D397F" w14:textId="48449252" w:rsidR="00B965F4" w:rsidRDefault="00B965F4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Okres gwarancji: </w:t>
      </w:r>
      <w:r w:rsidR="00D92F8E">
        <w:rPr>
          <w:rFonts w:ascii="Tahoma" w:eastAsia="Times New Roman" w:hAnsi="Tahoma" w:cs="Tahoma"/>
          <w:sz w:val="20"/>
          <w:szCs w:val="20"/>
          <w:lang w:eastAsia="pl-PL"/>
        </w:rPr>
        <w:t xml:space="preserve">do końca okresu gwarancji na aparat </w:t>
      </w:r>
      <w:r w:rsidR="00AB5FC4">
        <w:rPr>
          <w:rFonts w:ascii="Tahoma" w:eastAsia="Times New Roman" w:hAnsi="Tahoma" w:cs="Tahoma"/>
          <w:sz w:val="20"/>
          <w:szCs w:val="20"/>
          <w:lang w:eastAsia="pl-PL"/>
        </w:rPr>
        <w:t xml:space="preserve">rezonans </w:t>
      </w:r>
      <w:r w:rsidR="00D92F8E">
        <w:rPr>
          <w:rFonts w:ascii="Tahoma" w:eastAsia="Times New Roman" w:hAnsi="Tahoma" w:cs="Tahoma"/>
          <w:sz w:val="20"/>
          <w:szCs w:val="20"/>
          <w:lang w:eastAsia="pl-PL"/>
        </w:rPr>
        <w:t>magnetyczny Magnetom Vida s/n: 175890 czyli do 08.09.2024</w:t>
      </w:r>
    </w:p>
    <w:p w14:paraId="1FB1C333" w14:textId="77777777" w:rsidR="008A552C" w:rsidRDefault="00D92F8E" w:rsidP="008A552C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Cewka fabrycznie nowa. Dostawca musi dostarczyć i zainstalować zaoferowaną cewkę w porozumieniu z producentem aparatu RM w sposób zapewniający utrzymanie gwarancji na aparat rezonans magnetyczny Magnetom Vida s/n:175890</w:t>
      </w:r>
    </w:p>
    <w:p w14:paraId="57853EDA" w14:textId="5C0DFD0D" w:rsidR="008A552C" w:rsidRPr="008A552C" w:rsidRDefault="008A552C" w:rsidP="008A552C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552C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12CE8802" w14:textId="3AC34716" w:rsidR="008A552C" w:rsidRPr="008A552C" w:rsidRDefault="008A552C" w:rsidP="008A552C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552C">
        <w:rPr>
          <w:rFonts w:ascii="Tahoma" w:eastAsia="Times New Roman" w:hAnsi="Tahoma" w:cs="Tahoma"/>
          <w:sz w:val="20"/>
          <w:szCs w:val="20"/>
          <w:lang w:eastAsia="pl-PL"/>
        </w:rPr>
        <w:t xml:space="preserve">33113000-5  Urządzenia do obrazowania rezonansu magnetycznego. </w:t>
      </w:r>
    </w:p>
    <w:p w14:paraId="65E9D030" w14:textId="77777777" w:rsidR="00E506E7" w:rsidRPr="00822B40" w:rsidRDefault="00E506E7" w:rsidP="00F5539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22B40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662DAA08" w14:textId="77777777" w:rsidR="00156357" w:rsidRPr="00822B40" w:rsidRDefault="00156357" w:rsidP="0015635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19DDCF2D" w14:textId="77777777" w:rsidR="002A40AA" w:rsidRPr="00822B40" w:rsidRDefault="002A40AA" w:rsidP="0050677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CE127B" w14:textId="5C96A250" w:rsidR="0050677D" w:rsidRPr="00822B40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2243680A" w:rsidR="004A63DF" w:rsidRPr="00822B40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Termin realizacji zamówienia</w:t>
      </w:r>
      <w:r w:rsidR="00D92F8E">
        <w:rPr>
          <w:rFonts w:ascii="Tahoma" w:hAnsi="Tahoma" w:cs="Tahoma"/>
          <w:sz w:val="20"/>
          <w:szCs w:val="20"/>
        </w:rPr>
        <w:t>:</w:t>
      </w:r>
      <w:r w:rsidR="003F6B6F" w:rsidRPr="00822B40">
        <w:rPr>
          <w:rFonts w:ascii="Tahoma" w:hAnsi="Tahoma" w:cs="Tahoma"/>
          <w:sz w:val="20"/>
          <w:szCs w:val="20"/>
        </w:rPr>
        <w:t xml:space="preserve"> </w:t>
      </w:r>
      <w:r w:rsidR="00E52C47">
        <w:rPr>
          <w:rFonts w:ascii="Tahoma" w:hAnsi="Tahoma" w:cs="Tahoma"/>
          <w:b/>
          <w:bCs/>
          <w:sz w:val="20"/>
          <w:szCs w:val="20"/>
        </w:rPr>
        <w:t>14 dni kalendarzowych</w:t>
      </w:r>
      <w:r w:rsidR="00D92F8E">
        <w:rPr>
          <w:rFonts w:ascii="Tahoma" w:hAnsi="Tahoma" w:cs="Tahoma"/>
          <w:sz w:val="20"/>
          <w:szCs w:val="20"/>
        </w:rPr>
        <w:t xml:space="preserve"> </w:t>
      </w:r>
      <w:r w:rsidR="001E4E00" w:rsidRPr="00822B40">
        <w:rPr>
          <w:rFonts w:ascii="Tahoma" w:hAnsi="Tahoma" w:cs="Tahoma"/>
          <w:sz w:val="20"/>
          <w:szCs w:val="20"/>
        </w:rPr>
        <w:t>od daty podpisania umowy.</w:t>
      </w:r>
    </w:p>
    <w:p w14:paraId="09699142" w14:textId="77777777" w:rsidR="004A63DF" w:rsidRPr="00822B40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1A820795" w:rsidR="00A641E7" w:rsidRPr="00822B40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22B40" w:rsidRDefault="006E4BDF" w:rsidP="00BA1F0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22B40">
        <w:rPr>
          <w:rFonts w:ascii="Tahoma" w:eastAsia="Calibri" w:hAnsi="Tahoma" w:cs="Tahoma"/>
          <w:sz w:val="20"/>
          <w:szCs w:val="20"/>
        </w:rPr>
        <w:t xml:space="preserve">pkt 1 – 6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, tj.:</w:t>
      </w:r>
    </w:p>
    <w:p w14:paraId="23E59EDD" w14:textId="0E67E071" w:rsidR="006E4BDF" w:rsidRPr="00822B40" w:rsidRDefault="006E4BDF" w:rsidP="00941EAC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</w:t>
      </w:r>
      <w:r w:rsidRPr="00822B40">
        <w:rPr>
          <w:rFonts w:ascii="Tahoma" w:eastAsia="Calibri" w:hAnsi="Tahoma" w:cs="Tahoma"/>
          <w:sz w:val="20"/>
          <w:szCs w:val="20"/>
        </w:rPr>
        <w:lastRenderedPageBreak/>
        <w:t>wiarygodności dokumentów, o których mowa w art. 270–277d Kodeksu karnego, lub przestępstwo skarbowe,</w:t>
      </w:r>
    </w:p>
    <w:p w14:paraId="16972392" w14:textId="2CF6226B" w:rsidR="006E4BDF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22B40" w:rsidRDefault="006E4BDF" w:rsidP="00941EA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. Dz.U. z 2021r. poz. 217, 2105, 2106, z 2022r.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Wykluczenie Wykonawcy następuje zgodnie z art. 111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.</w:t>
      </w:r>
    </w:p>
    <w:p w14:paraId="5AE945EE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Zamawiający nie przewiduje wykluczenia wykonawcy na podstawie art. 109 ust.1 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Pzp</w:t>
      </w:r>
      <w:proofErr w:type="spellEnd"/>
    </w:p>
    <w:p w14:paraId="1B54CDF3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22B4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22B40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22B40">
        <w:rPr>
          <w:rStyle w:val="markedcontent"/>
          <w:rFonts w:ascii="Tahoma" w:hAnsi="Tahoma" w:cs="Tahoma"/>
          <w:sz w:val="20"/>
          <w:szCs w:val="20"/>
        </w:rPr>
        <w:lastRenderedPageBreak/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978D16A" w:rsidR="003B4EC7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22B40">
        <w:rPr>
          <w:rFonts w:ascii="Tahoma" w:hAnsi="Tahoma" w:cs="Tahoma"/>
          <w:color w:val="000000"/>
          <w:sz w:val="20"/>
          <w:szCs w:val="20"/>
        </w:rPr>
        <w:t>(Dz. U. z 202</w:t>
      </w:r>
      <w:r w:rsidR="00AF400E">
        <w:rPr>
          <w:rFonts w:ascii="Tahoma" w:hAnsi="Tahoma" w:cs="Tahoma"/>
          <w:color w:val="000000"/>
          <w:sz w:val="20"/>
          <w:szCs w:val="20"/>
        </w:rPr>
        <w:t>3</w:t>
      </w:r>
      <w:r w:rsidRPr="00822B40">
        <w:rPr>
          <w:rFonts w:ascii="Tahoma" w:hAnsi="Tahoma" w:cs="Tahoma"/>
          <w:color w:val="000000"/>
          <w:sz w:val="20"/>
          <w:szCs w:val="20"/>
        </w:rPr>
        <w:t xml:space="preserve"> r. poz. </w:t>
      </w:r>
      <w:r w:rsidR="00AF400E">
        <w:rPr>
          <w:rFonts w:ascii="Tahoma" w:hAnsi="Tahoma" w:cs="Tahoma"/>
          <w:color w:val="000000"/>
          <w:sz w:val="20"/>
          <w:szCs w:val="20"/>
        </w:rPr>
        <w:t>1824</w:t>
      </w:r>
      <w:r w:rsidRPr="00822B40">
        <w:rPr>
          <w:rFonts w:ascii="Tahoma" w:hAnsi="Tahoma" w:cs="Tahoma"/>
          <w:color w:val="000000"/>
          <w:sz w:val="20"/>
          <w:szCs w:val="20"/>
        </w:rPr>
        <w:t xml:space="preserve">) oraz przepisy rozporządzenia Prezesa Rady Ministrów z dnia 30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22B4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22B40">
        <w:rPr>
          <w:rFonts w:ascii="Tahoma" w:hAnsi="Tahoma" w:cs="Tahoma"/>
          <w:sz w:val="20"/>
          <w:szCs w:val="20"/>
        </w:rPr>
        <w:t>2)</w:t>
      </w:r>
      <w:r w:rsidRPr="00822B4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22B40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22B4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1E4E00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822B4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822B4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822B4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822B4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822B4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822B40">
        <w:rPr>
          <w:rFonts w:ascii="Tahoma" w:hAnsi="Tahoma" w:cs="Tahoma"/>
          <w:bCs/>
          <w:sz w:val="20"/>
          <w:szCs w:val="20"/>
        </w:rPr>
        <w:t xml:space="preserve">). </w:t>
      </w:r>
      <w:r w:rsidRPr="00822B40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822B40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822B40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22B40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22B40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252FD9A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7BDF5B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487F863E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)</w:t>
      </w:r>
    </w:p>
    <w:p w14:paraId="5F4DD4E9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47EDC70F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07FA712E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22B40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lastRenderedPageBreak/>
        <w:t xml:space="preserve">Szczegółowa instrukcja użytkownika Wykonawcy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22B40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22B40">
        <w:rPr>
          <w:rFonts w:ascii="Tahoma" w:eastAsia="Cambria" w:hAnsi="Tahoma" w:cs="Tahoma"/>
          <w:sz w:val="20"/>
          <w:szCs w:val="20"/>
        </w:rPr>
        <w:t>Sabina Trojańczyk</w:t>
      </w:r>
      <w:r w:rsidRPr="00822B40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22B40">
        <w:rPr>
          <w:rFonts w:ascii="Tahoma" w:eastAsia="Cambria" w:hAnsi="Tahoma" w:cs="Tahoma"/>
          <w:sz w:val="20"/>
          <w:szCs w:val="20"/>
        </w:rPr>
        <w:t>7</w:t>
      </w:r>
      <w:r w:rsidRPr="00822B40">
        <w:rPr>
          <w:rFonts w:ascii="Tahoma" w:eastAsia="Cambria" w:hAnsi="Tahoma" w:cs="Tahoma"/>
          <w:sz w:val="20"/>
          <w:szCs w:val="20"/>
        </w:rPr>
        <w:t>, e-mail : s</w:t>
      </w:r>
      <w:r w:rsidR="00002934" w:rsidRPr="00822B40">
        <w:rPr>
          <w:rFonts w:ascii="Tahoma" w:eastAsia="Cambria" w:hAnsi="Tahoma" w:cs="Tahoma"/>
          <w:sz w:val="20"/>
          <w:szCs w:val="20"/>
        </w:rPr>
        <w:t>trojanczyk</w:t>
      </w:r>
      <w:r w:rsidRPr="00822B40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22B40">
        <w:rPr>
          <w:rFonts w:ascii="Tahoma" w:eastAsia="Cambria" w:hAnsi="Tahoma" w:cs="Tahoma"/>
          <w:sz w:val="20"/>
          <w:szCs w:val="20"/>
        </w:rPr>
        <w:t>00</w:t>
      </w:r>
      <w:r w:rsidRPr="00822B40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22B40">
        <w:rPr>
          <w:rFonts w:ascii="Tahoma" w:eastAsia="Cambria" w:hAnsi="Tahoma" w:cs="Tahoma"/>
          <w:sz w:val="20"/>
          <w:szCs w:val="20"/>
        </w:rPr>
        <w:t>4</w:t>
      </w:r>
      <w:r w:rsidRPr="00822B40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22B40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22B40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22B40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22B40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22B40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09DADDD6" w:rsidR="00F061E0" w:rsidRPr="00822B40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406FF">
        <w:rPr>
          <w:rFonts w:ascii="Tahoma" w:eastAsia="Times New Roman" w:hAnsi="Tahoma" w:cs="Tahoma"/>
          <w:sz w:val="20"/>
          <w:szCs w:val="20"/>
          <w:lang w:eastAsia="pl-PL"/>
        </w:rPr>
        <w:t>31.10.2023</w:t>
      </w:r>
    </w:p>
    <w:p w14:paraId="74BB4F3A" w14:textId="77777777" w:rsidR="00F061E0" w:rsidRPr="00822B40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22B4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22B4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22B40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22B40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22B40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14:paraId="38449382" w14:textId="77777777" w:rsidR="00942C29" w:rsidRPr="00822B40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22B40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6E1C2CB" w14:textId="742560FE" w:rsidR="00E17E9D" w:rsidRPr="00822B40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22B40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59E929D8" w14:textId="462DFD54" w:rsidR="00942C29" w:rsidRPr="00822B40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22B40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D735A" w:rsidRPr="00822B40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22B40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22B40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22B40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22B40">
        <w:rPr>
          <w:rFonts w:ascii="Tahoma" w:hAnsi="Tahoma" w:cs="Tahoma"/>
          <w:sz w:val="20"/>
          <w:szCs w:val="20"/>
        </w:rPr>
        <w:t>z</w:t>
      </w:r>
      <w:r w:rsidRPr="00822B40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22B40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22B40">
        <w:rPr>
          <w:rFonts w:ascii="Tahoma" w:hAnsi="Tahoma" w:cs="Tahoma"/>
          <w:sz w:val="20"/>
          <w:szCs w:val="20"/>
        </w:rPr>
        <w:t>(Dz. U. z 2020 r. poz. 1913)</w:t>
      </w:r>
      <w:r w:rsidRPr="00822B40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22B40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22B40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22B40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22B40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22B40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lastRenderedPageBreak/>
        <w:t>w sytuacji gdy zostały wytworzone jako dokument elektroniczny - przekazuje się ten dokument;</w:t>
      </w:r>
    </w:p>
    <w:p w14:paraId="5037B262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6843CB84" w:rsidR="00942C29" w:rsidRPr="00822B40" w:rsidRDefault="00942C29" w:rsidP="00941EAC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      15. Poświadczenia zgodności cyfrowego odwzorowania z dokumentem w postaci</w:t>
      </w:r>
      <w:r w:rsidR="00941EAC" w:rsidRPr="00822B40">
        <w:rPr>
          <w:rFonts w:ascii="Tahoma" w:hAnsi="Tahoma" w:cs="Tahoma"/>
          <w:sz w:val="20"/>
          <w:szCs w:val="20"/>
        </w:rPr>
        <w:t xml:space="preserve"> </w:t>
      </w:r>
      <w:r w:rsidRPr="00822B40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60FC9F11" w14:textId="037E9102" w:rsidR="00942C29" w:rsidRPr="00822B40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8DA2F0" w14:textId="77777777" w:rsidR="00F956A4" w:rsidRPr="00822B40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22B40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3AE71DDF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822B40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22B40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40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02.10.2023</w:t>
      </w:r>
      <w:r w:rsidR="00C25F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1EE6F1C9" w14:textId="5065E35E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406F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02.10.2023r</w:t>
      </w:r>
      <w:r w:rsidR="00C25F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1CD67E71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22B40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822B4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22B40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941EAC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22B40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822B4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822B40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7E3FFB99" w14:textId="77777777" w:rsidR="0048757F" w:rsidRPr="00822B40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22B40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22B40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22B40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35F1B3C" w14:textId="665EF8FF" w:rsidR="00B965F4" w:rsidRPr="007B121A" w:rsidRDefault="0048757F" w:rsidP="007B121A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284ABFE3" w14:textId="77777777" w:rsidR="00B965F4" w:rsidRPr="00822B40" w:rsidRDefault="00B965F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22B40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22B40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22B40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37BC37E4" w14:textId="77777777" w:rsidR="009B6E83" w:rsidRPr="00822B40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22B40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0556B64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9BC690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Jedynym kryterium oceny ofert jest cena. </w:t>
      </w:r>
    </w:p>
    <w:p w14:paraId="751D7D6B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07615C6C" w14:textId="77777777" w:rsidR="00B965F4" w:rsidRPr="00B965F4" w:rsidRDefault="00B965F4" w:rsidP="00FE4258">
      <w:pPr>
        <w:pStyle w:val="Akapitzlist"/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3D235A1A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10445A22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– cena najniższej oferty,</w:t>
      </w:r>
    </w:p>
    <w:p w14:paraId="29429728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– cena badanej oferty</w:t>
      </w:r>
    </w:p>
    <w:p w14:paraId="7AAD93F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7012AB5E" w14:textId="77777777" w:rsidR="00B965F4" w:rsidRPr="00B965F4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Zamawiający za  najkorzystniejszą  uzna ofertę, złożoną przez Wykonawcę ,która uzyska najwyższą ilość punktów uzyskana na podstawie kryteriów oceny ofert określonych w dokumentach zamówienia..</w:t>
      </w:r>
    </w:p>
    <w:p w14:paraId="1745355B" w14:textId="77777777" w:rsidR="00B965F4" w:rsidRPr="00B965F4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3.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75947B1F" w14:textId="551C8F71" w:rsidR="00D24897" w:rsidRPr="00822B40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Punktacja przyznawana ofertom w kryterium będzie liczona z dokładnością do dwóch miejsc po przecinku.</w:t>
      </w:r>
    </w:p>
    <w:p w14:paraId="35C8A28D" w14:textId="77777777" w:rsidR="00FE4258" w:rsidRDefault="00FE4258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CCBEDA4" w14:textId="40F6673A" w:rsidR="00CD1297" w:rsidRPr="00822B40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22B40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22B40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29156C8" w14:textId="4297B827" w:rsidR="005A6C16" w:rsidRPr="00822B40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22B40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22B40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22B40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22B40">
        <w:rPr>
          <w:rFonts w:ascii="Tahoma" w:eastAsia="Cambria" w:hAnsi="Tahoma" w:cs="Tahoma"/>
          <w:sz w:val="20"/>
          <w:szCs w:val="20"/>
        </w:rPr>
        <w:t>3</w:t>
      </w:r>
      <w:r w:rsidR="00CC02BB" w:rsidRPr="00822B40">
        <w:rPr>
          <w:rFonts w:ascii="Tahoma" w:eastAsia="Cambria" w:hAnsi="Tahoma" w:cs="Tahoma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22B40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22B40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7CB82D9" w14:textId="12F3D12F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22B40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22B40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22B40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Zgodnie z art. 13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22B40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22B40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lastRenderedPageBreak/>
        <w:t>Wykonawca zapozna osoby, których dane podaje w ramach niniejszego postępowania</w:t>
      </w:r>
      <w:r w:rsidRPr="00822B40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38F02250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F83D53D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6F6136E5" w:rsidR="00CD1297" w:rsidRPr="00822B40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14:paraId="68E097B8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221FC09" w14:textId="4050D480" w:rsidR="00E52C47" w:rsidRPr="00822B40" w:rsidRDefault="00E52C4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4. wzór umowy powierzenia i przetwarzania danych osobowych</w:t>
      </w:r>
    </w:p>
    <w:p w14:paraId="65460B07" w14:textId="35AE6E9B" w:rsidR="0032593D" w:rsidRPr="00822B40" w:rsidRDefault="00E52C47" w:rsidP="00325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32593D"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. Załączniki do procedury </w:t>
      </w:r>
      <w:r w:rsidR="0032593D" w:rsidRPr="00822B40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14:paraId="17518991" w14:textId="2E174FA0" w:rsidR="00A25D06" w:rsidRPr="00822B40" w:rsidRDefault="00A25D06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E331B0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</w:p>
    <w:p w14:paraId="2C7DA4D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A1A79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A95B9B9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1258A7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3E73F06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515A33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CF12B0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2A643C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EEA98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2FAB5A2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CE4054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AB65E2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8694F7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EFD6A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779CE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80702E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8EB5F7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321067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D78893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920E2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5E339E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C6C928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1BEE04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5BE5BBF" w14:textId="77777777" w:rsidR="003E7D91" w:rsidRPr="00822B40" w:rsidRDefault="003E7D9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DD1585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420B69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905F7BD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D9B14A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DFA78AC" w14:textId="77777777" w:rsidR="003C52E3" w:rsidRDefault="003C52E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18B18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203096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13A07D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55F98AE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FFFA5D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F59973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7A64D5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3FB79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84564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41A576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70CD804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B6684B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0E2AA77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D926BC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184D135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9FE583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BBB62B" w14:textId="77777777" w:rsidR="00FE4258" w:rsidRPr="00822B40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CCA41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F2A0094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17396DED" w:rsidR="00071AEE" w:rsidRPr="00822B40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DZP.381.</w:t>
      </w:r>
      <w:r w:rsidR="007B121A">
        <w:rPr>
          <w:rFonts w:ascii="Tahoma" w:eastAsia="Calibri" w:hAnsi="Tahoma" w:cs="Tahoma"/>
          <w:sz w:val="20"/>
          <w:szCs w:val="20"/>
        </w:rPr>
        <w:t>105</w:t>
      </w:r>
      <w:r w:rsidR="00B51BA6" w:rsidRPr="00822B40">
        <w:rPr>
          <w:rFonts w:ascii="Tahoma" w:eastAsia="Calibri" w:hAnsi="Tahoma" w:cs="Tahoma"/>
          <w:sz w:val="20"/>
          <w:szCs w:val="20"/>
        </w:rPr>
        <w:t>B</w:t>
      </w:r>
      <w:r w:rsidR="00C93FA8" w:rsidRPr="00822B40">
        <w:rPr>
          <w:rFonts w:ascii="Tahoma" w:eastAsia="Calibri" w:hAnsi="Tahoma" w:cs="Tahoma"/>
          <w:sz w:val="20"/>
          <w:szCs w:val="20"/>
        </w:rPr>
        <w:t>.</w:t>
      </w:r>
      <w:r w:rsidRPr="00822B40">
        <w:rPr>
          <w:rFonts w:ascii="Tahoma" w:eastAsia="Calibri" w:hAnsi="Tahoma" w:cs="Tahoma"/>
          <w:sz w:val="20"/>
          <w:szCs w:val="20"/>
        </w:rPr>
        <w:t>202</w:t>
      </w:r>
      <w:r w:rsidR="007E4A06" w:rsidRPr="00822B40">
        <w:rPr>
          <w:rFonts w:ascii="Tahoma" w:eastAsia="Calibri" w:hAnsi="Tahoma" w:cs="Tahoma"/>
          <w:sz w:val="20"/>
          <w:szCs w:val="20"/>
        </w:rPr>
        <w:t>3</w:t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Pr="00822B40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22B40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22B40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002EEBFF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</w:t>
      </w:r>
      <w:r w:rsidR="00207672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KRS……………………………..</w:t>
      </w:r>
    </w:p>
    <w:p w14:paraId="4EF7B9D1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10A05E25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76BC3CE" w14:textId="0972B831" w:rsidR="00B90A3A" w:rsidRPr="00822B40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22B40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4E9F15" w14:textId="3D92AE48" w:rsidR="001D0036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="007B121A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</w:t>
      </w:r>
      <w:r w:rsidR="002C7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ę</w:t>
      </w:r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Start w:id="2" w:name="_Hlk146196397"/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cewki do aparatu rezonansu magnetycznego Magnetom Vida s/n:175890 </w:t>
      </w:r>
      <w:bookmarkEnd w:id="2"/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oferujemy</w:t>
      </w:r>
      <w:r w:rsidR="001D0036" w:rsidRPr="007B121A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 xml:space="preserve"> </w:t>
      </w:r>
      <w:r w:rsidR="001D0036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realizację przedmiotu zamówienia w zakresie objętym specyfikacją warunków zamówienia ( SWZ) za kwotę</w:t>
      </w:r>
      <w:r w:rsidR="00B2564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:</w:t>
      </w:r>
      <w:r w:rsidR="001D0036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</w:p>
    <w:p w14:paraId="22564A04" w14:textId="77777777" w:rsidR="002C2CAD" w:rsidRDefault="002C2CAD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984"/>
        <w:gridCol w:w="1126"/>
        <w:gridCol w:w="1560"/>
        <w:gridCol w:w="1275"/>
        <w:gridCol w:w="1134"/>
        <w:gridCol w:w="1276"/>
      </w:tblGrid>
      <w:tr w:rsidR="00FB0D78" w14:paraId="094C4E1B" w14:textId="77777777" w:rsidTr="00FB0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B3E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47516231"/>
          </w:p>
          <w:p w14:paraId="65FF2F29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87B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D4DF5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FA5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95A685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246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5B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10F160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ACD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BEA5AA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7A1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BC927C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FB0D78" w14:paraId="416DDE89" w14:textId="77777777" w:rsidTr="00FB0D78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7FB" w14:textId="77777777" w:rsidR="00FB0D78" w:rsidRDefault="00FB0D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583" w14:paraId="669972EA" w14:textId="77777777" w:rsidTr="00E00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C41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554" w14:textId="688423B2" w:rsidR="007E2583" w:rsidRPr="00FB0D78" w:rsidRDefault="007B121A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t xml:space="preserve">Cewka do aparatu Magnetom </w:t>
            </w:r>
            <w:r w:rsidR="00AB5FC4">
              <w:t>V</w:t>
            </w:r>
            <w:r>
              <w:t>ida s/n:175890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5794" w14:textId="6BD19D98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 xml:space="preserve">1 </w:t>
            </w:r>
            <w:proofErr w:type="spellStart"/>
            <w:r w:rsidRPr="00093907">
              <w:t>kpl</w:t>
            </w:r>
            <w:proofErr w:type="spellEnd"/>
            <w:r w:rsidRPr="00093907"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E38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216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45D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3D6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14:paraId="4BD5BDCD" w14:textId="77777777" w:rsidR="00FB0D78" w:rsidRPr="00822B40" w:rsidRDefault="00FB0D78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1577A02C" w14:textId="7AF23C77" w:rsidR="007B121A" w:rsidRPr="0091607A" w:rsidRDefault="007B121A" w:rsidP="007B121A">
      <w:pPr>
        <w:pStyle w:val="Akapitzlist"/>
        <w:numPr>
          <w:ilvl w:val="3"/>
          <w:numId w:val="62"/>
        </w:numPr>
        <w:spacing w:line="288" w:lineRule="auto"/>
        <w:ind w:left="709" w:hanging="425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 xml:space="preserve">Oświadczamy, iż oferujemy </w:t>
      </w:r>
      <w:r w:rsidR="008A552C" w:rsidRPr="008A552C">
        <w:rPr>
          <w:rFonts w:ascii="Tahoma" w:hAnsi="Tahoma" w:cs="Tahoma"/>
          <w:sz w:val="20"/>
          <w:szCs w:val="20"/>
        </w:rPr>
        <w:t>cewk</w:t>
      </w:r>
      <w:r w:rsidR="008A552C">
        <w:rPr>
          <w:rFonts w:ascii="Tahoma" w:hAnsi="Tahoma" w:cs="Tahoma"/>
          <w:sz w:val="20"/>
          <w:szCs w:val="20"/>
        </w:rPr>
        <w:t>ę</w:t>
      </w:r>
      <w:r w:rsidR="008A552C" w:rsidRPr="008A552C">
        <w:rPr>
          <w:rFonts w:ascii="Tahoma" w:hAnsi="Tahoma" w:cs="Tahoma"/>
          <w:sz w:val="20"/>
          <w:szCs w:val="20"/>
        </w:rPr>
        <w:t xml:space="preserve"> do aparatu rezonansu magnetycznego Magnetom Vida s/n:175890</w:t>
      </w:r>
      <w:r w:rsidR="008A552C">
        <w:rPr>
          <w:rFonts w:ascii="Tahoma" w:hAnsi="Tahoma" w:cs="Tahoma"/>
          <w:sz w:val="20"/>
          <w:szCs w:val="20"/>
        </w:rPr>
        <w:t xml:space="preserve"> 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7B121A" w:rsidRPr="0091607A" w14:paraId="4BEDECCF" w14:textId="77777777" w:rsidTr="007B121A">
        <w:trPr>
          <w:trHeight w:val="738"/>
        </w:trPr>
        <w:tc>
          <w:tcPr>
            <w:tcW w:w="3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1FDB2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07A">
              <w:rPr>
                <w:rFonts w:ascii="Tahoma" w:hAnsi="Tahoma" w:cs="Tahoma"/>
                <w:sz w:val="20"/>
                <w:szCs w:val="20"/>
              </w:rPr>
              <w:t>Producent: (podać)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E8980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B121A" w:rsidRPr="0091607A" w14:paraId="446D355A" w14:textId="77777777" w:rsidTr="007B121A">
        <w:trPr>
          <w:trHeight w:val="886"/>
        </w:trPr>
        <w:tc>
          <w:tcPr>
            <w:tcW w:w="3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29E0A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607A">
              <w:rPr>
                <w:rFonts w:ascii="Tahoma" w:hAnsi="Tahoma" w:cs="Tahoma"/>
                <w:sz w:val="20"/>
                <w:szCs w:val="20"/>
              </w:rPr>
              <w:t>Nazwa/typ: (podać)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59B21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4C997" w14:textId="3647FD4E" w:rsidR="007B121A" w:rsidRDefault="007B121A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7B121A">
        <w:rPr>
          <w:rFonts w:ascii="Tahoma" w:hAnsi="Tahoma" w:cs="Tahoma"/>
          <w:sz w:val="20"/>
          <w:szCs w:val="20"/>
        </w:rPr>
        <w:t>Oświadczamy, iż zaoferowane urządzenie spełnia  wymagania Zamawiającego wskazane w rozdziale III. SWZ - PRZEDMIOT ZAMÓWIENIA.</w:t>
      </w:r>
    </w:p>
    <w:p w14:paraId="58EC93C6" w14:textId="77777777" w:rsidR="007B121A" w:rsidRDefault="007B121A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56A79173" w:rsidR="00A955A6" w:rsidRDefault="00E53045" w:rsidP="009A69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 w:rsidR="007B121A">
        <w:rPr>
          <w:rFonts w:ascii="Tahoma" w:hAnsi="Tahoma" w:cs="Tahoma"/>
          <w:sz w:val="20"/>
          <w:szCs w:val="20"/>
        </w:rPr>
        <w:t xml:space="preserve"> </w:t>
      </w:r>
      <w:r w:rsidR="00E52C47">
        <w:rPr>
          <w:rFonts w:ascii="Tahoma" w:hAnsi="Tahoma" w:cs="Tahoma"/>
          <w:sz w:val="20"/>
          <w:szCs w:val="20"/>
        </w:rPr>
        <w:t>14 dni kalendarzowych od</w:t>
      </w:r>
      <w:r w:rsidR="008F1811" w:rsidRPr="00822B40">
        <w:rPr>
          <w:rFonts w:ascii="Tahoma" w:hAnsi="Tahoma" w:cs="Tahoma"/>
          <w:sz w:val="20"/>
          <w:szCs w:val="20"/>
        </w:rPr>
        <w:t xml:space="preserve"> daty podpisania umowy</w:t>
      </w:r>
      <w:r w:rsidR="00A955A6" w:rsidRPr="00822B40">
        <w:rPr>
          <w:rFonts w:ascii="Tahoma" w:hAnsi="Tahoma" w:cs="Tahoma"/>
          <w:sz w:val="20"/>
          <w:szCs w:val="20"/>
        </w:rPr>
        <w:t>.</w:t>
      </w:r>
    </w:p>
    <w:p w14:paraId="0A4E33F4" w14:textId="77777777" w:rsidR="008A552C" w:rsidRDefault="008A552C" w:rsidP="009A69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C50B33A" w14:textId="090B1C6D" w:rsidR="008A552C" w:rsidRPr="009A69BF" w:rsidRDefault="008A552C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Okres gwarancji: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08.09.2024</w:t>
      </w:r>
    </w:p>
    <w:p w14:paraId="50E18BAC" w14:textId="77777777" w:rsidR="008F1811" w:rsidRPr="00822B40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6E2AEB8C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22B40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2D85B609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22B40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22B40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AEB5356" w14:textId="0263BF64" w:rsidR="00155BA3" w:rsidRDefault="00155BA3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55BA3">
        <w:rPr>
          <w:rFonts w:ascii="Tahoma" w:eastAsia="Calibri" w:hAnsi="Tahoma" w:cs="Tahoma"/>
          <w:sz w:val="20"/>
          <w:szCs w:val="20"/>
        </w:rPr>
        <w:t>W cenie naszej oferty zostały uwzględnione wszystkie koszty wykonania zamówienia.</w:t>
      </w:r>
    </w:p>
    <w:p w14:paraId="4B6F570C" w14:textId="01D282FE" w:rsidR="008A552C" w:rsidRPr="008A552C" w:rsidRDefault="008A552C" w:rsidP="008A552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A552C">
        <w:rPr>
          <w:rFonts w:ascii="Tahoma" w:eastAsia="Calibri" w:hAnsi="Tahoma" w:cs="Tahoma"/>
          <w:sz w:val="20"/>
          <w:szCs w:val="20"/>
        </w:rPr>
        <w:t>W związku z wdrożoną u Zamawiającego procedurą BHP-8 „Organizowanie prac związanych z  zagrożeniami przez wykonawców” oświadczamy że zapoznaliśmy się z w/w procedurą dostępną pod adresem https://www.uck.katowice.pl/uploads/files/procedurabhp8.pdf</w:t>
      </w:r>
    </w:p>
    <w:p w14:paraId="30196CFD" w14:textId="1FBE10A1" w:rsidR="00DB4807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22B40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22B40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22B40" w14:paraId="46414114" w14:textId="77777777" w:rsidTr="003A6B78">
        <w:tc>
          <w:tcPr>
            <w:tcW w:w="9210" w:type="dxa"/>
          </w:tcPr>
          <w:p w14:paraId="3E5531E1" w14:textId="77777777" w:rsidR="00DB4807" w:rsidRPr="00822B40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22B40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22B40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22B40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067A0E5B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22B40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22B40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22B40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F829F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BD1BE0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0B047FD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94BFC9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B266A2" w14:textId="77777777" w:rsidR="007B5443" w:rsidRDefault="007B544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BA605B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2A1AB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2CE14B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4A1311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1BE293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2B9F1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B7549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0E958E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B285BD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96568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8684B25" w14:textId="77777777" w:rsidR="002C7BB9" w:rsidRDefault="002C7BB9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CC2FE3" w14:textId="77777777" w:rsidR="002C7BB9" w:rsidRDefault="002C7BB9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4BD0DA" w14:textId="77777777" w:rsidR="00DF0F8F" w:rsidRPr="00822B40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57B425C4" w:rsidR="00DF0F78" w:rsidRPr="00822B40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7B121A">
        <w:rPr>
          <w:rFonts w:ascii="Tahoma" w:eastAsia="Times New Roman" w:hAnsi="Tahoma" w:cs="Tahoma"/>
          <w:iCs/>
          <w:sz w:val="20"/>
          <w:szCs w:val="20"/>
          <w:lang w:eastAsia="ar-SA"/>
        </w:rPr>
        <w:t>105</w:t>
      </w: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36DCB61C" w14:textId="77777777" w:rsidR="007B5443" w:rsidRDefault="00DF0F78" w:rsidP="00405C8E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747E17B1" w14:textId="22BFE5B9" w:rsidR="00405C8E" w:rsidRPr="007B5443" w:rsidRDefault="00405C8E" w:rsidP="007B544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wobec wykonawcy/żadnego z wykonawców nie zachodzą przesłanki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wykluczenia z postepowania, o których mowa </w:t>
      </w:r>
      <w:bookmarkStart w:id="4" w:name="_Hlk101345128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4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r. o szczególnych rozwiązaniach w zakresie przeciwdziałania wspieraniu agresji na Ukrainę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14:paraId="1E4FD3DA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22B40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</w:t>
      </w:r>
      <w:r w:rsidRPr="00822B40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22B40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22B4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i/>
          <w:sz w:val="20"/>
          <w:szCs w:val="20"/>
        </w:rPr>
        <w:t>).</w:t>
      </w:r>
      <w:r w:rsidRPr="00822B40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22B40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22B40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22B40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22B40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22B40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51FDFF1D" w:rsidR="009B6E83" w:rsidRPr="00822B40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22B4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</w:t>
      </w:r>
      <w:bookmarkEnd w:id="1"/>
    </w:p>
    <w:p w14:paraId="21D12896" w14:textId="77777777" w:rsidR="000B3ECE" w:rsidRPr="00822B40" w:rsidRDefault="000B3ECE" w:rsidP="007B544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0B3ECE" w:rsidRPr="00822B40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5245E97"/>
    <w:multiLevelType w:val="hybridMultilevel"/>
    <w:tmpl w:val="A300B37A"/>
    <w:lvl w:ilvl="0" w:tplc="E19EE5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ED720A"/>
    <w:multiLevelType w:val="hybridMultilevel"/>
    <w:tmpl w:val="B4C45D4E"/>
    <w:lvl w:ilvl="0" w:tplc="F2C29AC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B06B00"/>
    <w:multiLevelType w:val="hybridMultilevel"/>
    <w:tmpl w:val="54082BC8"/>
    <w:name w:val="WW8Num264224"/>
    <w:styleLink w:val="WWNum161"/>
    <w:lvl w:ilvl="0" w:tplc="01A0C2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E12327"/>
    <w:multiLevelType w:val="hybridMultilevel"/>
    <w:tmpl w:val="CCD484D2"/>
    <w:numStyleLink w:val="WWNum112"/>
  </w:abstractNum>
  <w:abstractNum w:abstractNumId="31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2495B52"/>
    <w:multiLevelType w:val="hybridMultilevel"/>
    <w:tmpl w:val="657A931E"/>
    <w:styleLink w:val="WWNum131"/>
    <w:lvl w:ilvl="0" w:tplc="7BA04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488A145C"/>
    <w:multiLevelType w:val="hybridMultilevel"/>
    <w:tmpl w:val="B606A114"/>
    <w:name w:val="WW8Num264224322222"/>
    <w:lvl w:ilvl="0" w:tplc="1EAE57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486663C"/>
    <w:multiLevelType w:val="hybridMultilevel"/>
    <w:tmpl w:val="1D628C48"/>
    <w:lvl w:ilvl="0" w:tplc="429A9F82">
      <w:start w:val="1"/>
      <w:numFmt w:val="decimal"/>
      <w:lvlText w:val="%1."/>
      <w:lvlJc w:val="left"/>
      <w:pPr>
        <w:ind w:left="720" w:hanging="360"/>
      </w:pPr>
      <w:rPr>
        <w:rFonts w:ascii="Tahoma" w:eastAsia="Courier New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BB276F7"/>
    <w:multiLevelType w:val="hybridMultilevel"/>
    <w:tmpl w:val="8B4C4402"/>
    <w:lvl w:ilvl="0" w:tplc="260C1D40">
      <w:numFmt w:val="decimal"/>
      <w:lvlText w:val=""/>
      <w:lvlJc w:val="left"/>
    </w:lvl>
    <w:lvl w:ilvl="1" w:tplc="8BE68AA6">
      <w:numFmt w:val="decimal"/>
      <w:lvlText w:val=""/>
      <w:lvlJc w:val="left"/>
    </w:lvl>
    <w:lvl w:ilvl="2" w:tplc="9A542510">
      <w:numFmt w:val="decimal"/>
      <w:lvlText w:val=""/>
      <w:lvlJc w:val="left"/>
    </w:lvl>
    <w:lvl w:ilvl="3" w:tplc="1AF45AEA">
      <w:numFmt w:val="decimal"/>
      <w:lvlText w:val=""/>
      <w:lvlJc w:val="left"/>
    </w:lvl>
    <w:lvl w:ilvl="4" w:tplc="1DFA41D0">
      <w:numFmt w:val="decimal"/>
      <w:lvlText w:val=""/>
      <w:lvlJc w:val="left"/>
    </w:lvl>
    <w:lvl w:ilvl="5" w:tplc="1B503260">
      <w:numFmt w:val="decimal"/>
      <w:lvlText w:val=""/>
      <w:lvlJc w:val="left"/>
    </w:lvl>
    <w:lvl w:ilvl="6" w:tplc="13CAB33E">
      <w:numFmt w:val="decimal"/>
      <w:lvlText w:val=""/>
      <w:lvlJc w:val="left"/>
    </w:lvl>
    <w:lvl w:ilvl="7" w:tplc="026AEE60">
      <w:numFmt w:val="decimal"/>
      <w:lvlText w:val=""/>
      <w:lvlJc w:val="left"/>
    </w:lvl>
    <w:lvl w:ilvl="8" w:tplc="96BE8CBC">
      <w:numFmt w:val="decimal"/>
      <w:lvlText w:val=""/>
      <w:lvlJc w:val="left"/>
    </w:lvl>
  </w:abstractNum>
  <w:abstractNum w:abstractNumId="66" w15:restartNumberingAfterBreak="0">
    <w:nsid w:val="5DF9591B"/>
    <w:multiLevelType w:val="hybridMultilevel"/>
    <w:tmpl w:val="8B4C4402"/>
    <w:styleLink w:val="WWNum171"/>
    <w:lvl w:ilvl="0" w:tplc="84F06F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6"/>
    <w:lvlOverride w:ilvl="0">
      <w:lvl w:ilvl="0" w:tplc="84F06F2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1867596554">
    <w:abstractNumId w:val="32"/>
    <w:lvlOverride w:ilvl="0">
      <w:lvl w:ilvl="0" w:tplc="7BA04B6E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2"/>
    <w:lvlOverride w:ilvl="0">
      <w:lvl w:ilvl="0" w:tplc="01A0C2D2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18"/>
  </w:num>
  <w:num w:numId="6" w16cid:durableId="1459295453">
    <w:abstractNumId w:val="3"/>
  </w:num>
  <w:num w:numId="7" w16cid:durableId="877351050">
    <w:abstractNumId w:val="40"/>
  </w:num>
  <w:num w:numId="8" w16cid:durableId="1510102220">
    <w:abstractNumId w:val="49"/>
  </w:num>
  <w:num w:numId="9" w16cid:durableId="870072466">
    <w:abstractNumId w:val="19"/>
  </w:num>
  <w:num w:numId="10" w16cid:durableId="1348943392">
    <w:abstractNumId w:val="34"/>
  </w:num>
  <w:num w:numId="11" w16cid:durableId="2012487932">
    <w:abstractNumId w:val="13"/>
  </w:num>
  <w:num w:numId="12" w16cid:durableId="157503166">
    <w:abstractNumId w:val="75"/>
  </w:num>
  <w:num w:numId="13" w16cid:durableId="1984112821">
    <w:abstractNumId w:val="48"/>
  </w:num>
  <w:num w:numId="14" w16cid:durableId="1931155454">
    <w:abstractNumId w:val="68"/>
  </w:num>
  <w:num w:numId="15" w16cid:durableId="705452653">
    <w:abstractNumId w:val="28"/>
  </w:num>
  <w:num w:numId="16" w16cid:durableId="554583642">
    <w:abstractNumId w:val="26"/>
  </w:num>
  <w:num w:numId="17" w16cid:durableId="570236546">
    <w:abstractNumId w:val="42"/>
  </w:num>
  <w:num w:numId="18" w16cid:durableId="1695762070">
    <w:abstractNumId w:val="36"/>
  </w:num>
  <w:num w:numId="19" w16cid:durableId="1085417608">
    <w:abstractNumId w:val="16"/>
  </w:num>
  <w:num w:numId="20" w16cid:durableId="171186758">
    <w:abstractNumId w:val="46"/>
  </w:num>
  <w:num w:numId="21" w16cid:durableId="1615793634">
    <w:abstractNumId w:val="53"/>
  </w:num>
  <w:num w:numId="22" w16cid:durableId="1076629274">
    <w:abstractNumId w:val="20"/>
  </w:num>
  <w:num w:numId="23" w16cid:durableId="1313288546">
    <w:abstractNumId w:val="38"/>
  </w:num>
  <w:num w:numId="24" w16cid:durableId="1135100438">
    <w:abstractNumId w:val="27"/>
  </w:num>
  <w:num w:numId="25" w16cid:durableId="1885021970">
    <w:abstractNumId w:val="67"/>
  </w:num>
  <w:num w:numId="26" w16cid:durableId="314260168">
    <w:abstractNumId w:val="69"/>
  </w:num>
  <w:num w:numId="27" w16cid:durableId="1780105132">
    <w:abstractNumId w:val="79"/>
  </w:num>
  <w:num w:numId="28" w16cid:durableId="1605532200">
    <w:abstractNumId w:val="9"/>
    <w:lvlOverride w:ilvl="0">
      <w:lvl w:ilvl="0" w:tplc="E19EE562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2"/>
  </w:num>
  <w:num w:numId="30" w16cid:durableId="392196346">
    <w:abstractNumId w:val="47"/>
  </w:num>
  <w:num w:numId="31" w16cid:durableId="2106001341">
    <w:abstractNumId w:val="15"/>
  </w:num>
  <w:num w:numId="32" w16cid:durableId="1235772803">
    <w:abstractNumId w:val="77"/>
  </w:num>
  <w:num w:numId="33" w16cid:durableId="335110074">
    <w:abstractNumId w:val="17"/>
  </w:num>
  <w:num w:numId="34" w16cid:durableId="1973096196">
    <w:abstractNumId w:val="23"/>
  </w:num>
  <w:num w:numId="35" w16cid:durableId="1280841028">
    <w:abstractNumId w:val="73"/>
  </w:num>
  <w:num w:numId="36" w16cid:durableId="918251028">
    <w:abstractNumId w:val="31"/>
  </w:num>
  <w:num w:numId="37" w16cid:durableId="1275795218">
    <w:abstractNumId w:val="12"/>
  </w:num>
  <w:num w:numId="38" w16cid:durableId="1883011768">
    <w:abstractNumId w:val="74"/>
  </w:num>
  <w:num w:numId="39" w16cid:durableId="1110010276">
    <w:abstractNumId w:val="39"/>
  </w:num>
  <w:num w:numId="40" w16cid:durableId="551382368">
    <w:abstractNumId w:val="41"/>
  </w:num>
  <w:num w:numId="41" w16cid:durableId="718632696">
    <w:abstractNumId w:val="70"/>
  </w:num>
  <w:num w:numId="42" w16cid:durableId="358626453">
    <w:abstractNumId w:val="32"/>
  </w:num>
  <w:num w:numId="43" w16cid:durableId="1555697298">
    <w:abstractNumId w:val="2"/>
  </w:num>
  <w:num w:numId="44" w16cid:durableId="110126730">
    <w:abstractNumId w:val="71"/>
  </w:num>
  <w:num w:numId="45" w16cid:durableId="267130089">
    <w:abstractNumId w:val="24"/>
  </w:num>
  <w:num w:numId="46" w16cid:durableId="1352608468">
    <w:abstractNumId w:val="43"/>
  </w:num>
  <w:num w:numId="47" w16cid:durableId="1934194725">
    <w:abstractNumId w:val="11"/>
  </w:num>
  <w:num w:numId="48" w16cid:durableId="2139302268">
    <w:abstractNumId w:val="35"/>
  </w:num>
  <w:num w:numId="49" w16cid:durableId="2120418045">
    <w:abstractNumId w:val="52"/>
  </w:num>
  <w:num w:numId="50" w16cid:durableId="1501699478">
    <w:abstractNumId w:val="30"/>
  </w:num>
  <w:num w:numId="51" w16cid:durableId="443693832">
    <w:abstractNumId w:val="59"/>
  </w:num>
  <w:num w:numId="52" w16cid:durableId="1396900619">
    <w:abstractNumId w:val="45"/>
  </w:num>
  <w:num w:numId="53" w16cid:durableId="1652900569">
    <w:abstractNumId w:val="78"/>
  </w:num>
  <w:num w:numId="54" w16cid:durableId="879439147">
    <w:abstractNumId w:val="83"/>
  </w:num>
  <w:num w:numId="55" w16cid:durableId="1897857478">
    <w:abstractNumId w:val="50"/>
  </w:num>
  <w:num w:numId="56" w16cid:durableId="1723560512">
    <w:abstractNumId w:val="62"/>
  </w:num>
  <w:num w:numId="57" w16cid:durableId="2066907122">
    <w:abstractNumId w:val="85"/>
  </w:num>
  <w:num w:numId="58" w16cid:durableId="23410473">
    <w:abstractNumId w:val="56"/>
  </w:num>
  <w:num w:numId="59" w16cid:durableId="635526655">
    <w:abstractNumId w:val="22"/>
  </w:num>
  <w:num w:numId="60" w16cid:durableId="1013990287">
    <w:abstractNumId w:val="66"/>
  </w:num>
  <w:num w:numId="61" w16cid:durableId="746729195">
    <w:abstractNumId w:val="60"/>
  </w:num>
  <w:num w:numId="62" w16cid:durableId="1520898577">
    <w:abstractNumId w:val="65"/>
    <w:lvlOverride w:ilvl="0">
      <w:lvl w:ilvl="0" w:tplc="260C1D40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32A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5BA3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02D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07672"/>
    <w:rsid w:val="00211647"/>
    <w:rsid w:val="002154DE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2CAD"/>
    <w:rsid w:val="002C53FA"/>
    <w:rsid w:val="002C7BB9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660A9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05DD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6E75"/>
    <w:rsid w:val="00447A5C"/>
    <w:rsid w:val="0045487F"/>
    <w:rsid w:val="00455E0B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679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0583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1413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121A"/>
    <w:rsid w:val="007B21B2"/>
    <w:rsid w:val="007B4B90"/>
    <w:rsid w:val="007B5443"/>
    <w:rsid w:val="007D0089"/>
    <w:rsid w:val="007D0281"/>
    <w:rsid w:val="007D32E2"/>
    <w:rsid w:val="007D38EB"/>
    <w:rsid w:val="007E2583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22B40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A552C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063D3"/>
    <w:rsid w:val="00914356"/>
    <w:rsid w:val="0091595D"/>
    <w:rsid w:val="009178E8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06FF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A69BF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5FC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AF400E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25648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5F4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5F41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92F8E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14B4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2C4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7E6"/>
    <w:rsid w:val="00FA6F5D"/>
    <w:rsid w:val="00FA7BD4"/>
    <w:rsid w:val="00FB0D78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E4258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60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59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  <w:style w:type="numbering" w:customStyle="1" w:styleId="WWNum11">
    <w:name w:val="WWNum11"/>
    <w:basedOn w:val="Bezlisty"/>
    <w:rsid w:val="007B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7080</Words>
  <Characters>42486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23</cp:revision>
  <cp:lastPrinted>2023-09-07T07:04:00Z</cp:lastPrinted>
  <dcterms:created xsi:type="dcterms:W3CDTF">2023-08-07T10:42:00Z</dcterms:created>
  <dcterms:modified xsi:type="dcterms:W3CDTF">2023-09-22T11:32:00Z</dcterms:modified>
</cp:coreProperties>
</file>